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7CC1" w14:textId="77777777" w:rsidR="00D15E31" w:rsidRPr="00CB5053" w:rsidRDefault="00D15E31" w:rsidP="00C37BF4">
      <w:pPr>
        <w:jc w:val="center"/>
        <w:rPr>
          <w:rFonts w:cs="Times New Roman"/>
          <w:b/>
          <w:i/>
        </w:rPr>
      </w:pPr>
      <w:r w:rsidRPr="00CB5053">
        <w:rPr>
          <w:rFonts w:cs="Times New Roman"/>
          <w:noProof/>
          <w:lang w:eastAsia="hu-HU" w:bidi="ar-SA"/>
        </w:rPr>
        <w:drawing>
          <wp:anchor distT="0" distB="0" distL="0" distR="0" simplePos="0" relativeHeight="251659264" behindDoc="0" locked="0" layoutInCell="1" allowOverlap="1" wp14:anchorId="251E9280" wp14:editId="20E70B99">
            <wp:simplePos x="0" y="0"/>
            <wp:positionH relativeFrom="column">
              <wp:posOffset>2548255</wp:posOffset>
            </wp:positionH>
            <wp:positionV relativeFrom="paragraph">
              <wp:posOffset>-52705</wp:posOffset>
            </wp:positionV>
            <wp:extent cx="733425" cy="865505"/>
            <wp:effectExtent l="0" t="0" r="9525" b="0"/>
            <wp:wrapTopAndBottom/>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B5053">
        <w:rPr>
          <w:rFonts w:cs="Times New Roman"/>
          <w:b/>
          <w:i/>
        </w:rPr>
        <w:t>Zebegény Község Polgármesterétől</w:t>
      </w:r>
    </w:p>
    <w:p w14:paraId="0E6BED28" w14:textId="77777777" w:rsidR="00D15E31" w:rsidRPr="00CB5053" w:rsidRDefault="00D15E31" w:rsidP="00C37BF4">
      <w:pPr>
        <w:jc w:val="center"/>
        <w:rPr>
          <w:rFonts w:cs="Times New Roman"/>
          <w:b/>
          <w:i/>
        </w:rPr>
      </w:pPr>
      <w:r w:rsidRPr="00CB5053">
        <w:rPr>
          <w:rFonts w:cs="Times New Roman"/>
          <w:b/>
          <w:i/>
        </w:rPr>
        <w:t>2627 Zebegény, Árpád u. 5.</w:t>
      </w:r>
    </w:p>
    <w:p w14:paraId="5D75CBD4" w14:textId="77777777" w:rsidR="00D15E31" w:rsidRPr="00CB5053" w:rsidRDefault="00D15E31" w:rsidP="00C37BF4">
      <w:pPr>
        <w:pBdr>
          <w:bottom w:val="single" w:sz="12" w:space="1" w:color="auto"/>
        </w:pBdr>
        <w:jc w:val="center"/>
        <w:rPr>
          <w:rFonts w:cs="Times New Roman"/>
        </w:rPr>
      </w:pPr>
      <w:r w:rsidRPr="00CB5053">
        <w:rPr>
          <w:rFonts w:cs="Times New Roman"/>
          <w:i/>
          <w:u w:val="single"/>
        </w:rPr>
        <w:t>E-mail:</w:t>
      </w:r>
      <w:r w:rsidRPr="00CB5053">
        <w:rPr>
          <w:rFonts w:cs="Times New Roman"/>
          <w:i/>
        </w:rPr>
        <w:t xml:space="preserve"> </w:t>
      </w:r>
      <w:hyperlink r:id="rId8" w:history="1">
        <w:r w:rsidRPr="00CB5053">
          <w:rPr>
            <w:rStyle w:val="Hiperhivatkozs"/>
            <w:rFonts w:cs="Times New Roman"/>
          </w:rPr>
          <w:t>polgarmester@zebegeny.hu</w:t>
        </w:r>
      </w:hyperlink>
    </w:p>
    <w:p w14:paraId="0B197BFB" w14:textId="0874D81F" w:rsidR="00D15E31" w:rsidRPr="00CB5053" w:rsidRDefault="00D15E31" w:rsidP="00C37BF4">
      <w:pPr>
        <w:jc w:val="both"/>
        <w:rPr>
          <w:rFonts w:cs="Times New Roman"/>
        </w:rPr>
      </w:pPr>
      <w:r w:rsidRPr="00CB5053">
        <w:rPr>
          <w:rFonts w:cs="Times New Roman"/>
          <w:b/>
        </w:rPr>
        <w:t>Napirendet tárgyaló ülés dátuma:</w:t>
      </w:r>
      <w:r w:rsidRPr="00CB5053">
        <w:rPr>
          <w:rFonts w:cs="Times New Roman"/>
          <w:b/>
        </w:rPr>
        <w:tab/>
      </w:r>
      <w:r w:rsidRPr="00CB5053">
        <w:rPr>
          <w:rFonts w:cs="Times New Roman"/>
          <w:b/>
        </w:rPr>
        <w:tab/>
      </w:r>
      <w:r w:rsidRPr="00CB5053">
        <w:rPr>
          <w:rFonts w:cs="Times New Roman"/>
          <w:b/>
        </w:rPr>
        <w:tab/>
      </w:r>
      <w:r w:rsidR="00E23500" w:rsidRPr="00CB5053">
        <w:rPr>
          <w:rFonts w:cs="Times New Roman"/>
          <w:b/>
        </w:rPr>
        <w:t xml:space="preserve">          </w:t>
      </w:r>
      <w:r w:rsidR="00BA56EE" w:rsidRPr="00CB5053">
        <w:rPr>
          <w:rFonts w:cs="Times New Roman"/>
        </w:rPr>
        <w:t xml:space="preserve">2025. </w:t>
      </w:r>
      <w:r w:rsidR="00E23500" w:rsidRPr="00CB5053">
        <w:rPr>
          <w:rFonts w:cs="Times New Roman"/>
        </w:rPr>
        <w:t xml:space="preserve">február </w:t>
      </w:r>
      <w:r w:rsidR="004549F5">
        <w:rPr>
          <w:rFonts w:cs="Times New Roman"/>
        </w:rPr>
        <w:t>20.</w:t>
      </w:r>
    </w:p>
    <w:p w14:paraId="6BB5F83D" w14:textId="4D7A77DF" w:rsidR="00D15E31" w:rsidRPr="00CB5053" w:rsidRDefault="00D15E31" w:rsidP="00C37BF4">
      <w:pPr>
        <w:jc w:val="both"/>
        <w:rPr>
          <w:rFonts w:cs="Times New Roman"/>
        </w:rPr>
      </w:pPr>
      <w:r w:rsidRPr="00CB5053">
        <w:rPr>
          <w:rFonts w:cs="Times New Roman"/>
          <w:b/>
        </w:rPr>
        <w:t>Előterjesztést készítette:</w:t>
      </w:r>
      <w:r w:rsidRPr="00CB5053">
        <w:rPr>
          <w:rFonts w:cs="Times New Roman"/>
          <w:b/>
        </w:rPr>
        <w:tab/>
      </w:r>
      <w:r w:rsidRPr="00CB5053">
        <w:rPr>
          <w:rFonts w:cs="Times New Roman"/>
          <w:b/>
        </w:rPr>
        <w:tab/>
      </w:r>
      <w:r w:rsidRPr="00CB5053">
        <w:rPr>
          <w:rFonts w:cs="Times New Roman"/>
          <w:b/>
        </w:rPr>
        <w:tab/>
      </w:r>
      <w:r w:rsidRPr="00CB5053">
        <w:rPr>
          <w:rFonts w:cs="Times New Roman"/>
          <w:b/>
        </w:rPr>
        <w:tab/>
      </w:r>
      <w:r w:rsidR="00E23500" w:rsidRPr="00CB5053">
        <w:rPr>
          <w:rFonts w:cs="Times New Roman"/>
          <w:b/>
        </w:rPr>
        <w:t xml:space="preserve">          </w:t>
      </w:r>
      <w:r w:rsidR="00E23500" w:rsidRPr="00AE1C5D">
        <w:rPr>
          <w:rFonts w:cs="Times New Roman"/>
          <w:spacing w:val="-6"/>
          <w:kern w:val="24"/>
        </w:rPr>
        <w:t>Schottner Norbert helyettesítő</w:t>
      </w:r>
      <w:r w:rsidRPr="00AE1C5D">
        <w:rPr>
          <w:rFonts w:cs="Times New Roman"/>
          <w:spacing w:val="-6"/>
          <w:kern w:val="24"/>
        </w:rPr>
        <w:t xml:space="preserve"> jegyző</w:t>
      </w:r>
    </w:p>
    <w:p w14:paraId="3F0134DF" w14:textId="4154F177" w:rsidR="00D15E31" w:rsidRPr="00CB5053" w:rsidRDefault="00D15E31" w:rsidP="00C37BF4">
      <w:pPr>
        <w:jc w:val="both"/>
        <w:rPr>
          <w:rFonts w:cs="Times New Roman"/>
        </w:rPr>
      </w:pPr>
      <w:r w:rsidRPr="00CB5053">
        <w:rPr>
          <w:rFonts w:cs="Times New Roman"/>
          <w:b/>
        </w:rPr>
        <w:t>Előterjesztő:</w:t>
      </w:r>
      <w:r w:rsidRPr="00CB5053">
        <w:rPr>
          <w:rFonts w:cs="Times New Roman"/>
          <w:b/>
        </w:rPr>
        <w:tab/>
      </w:r>
      <w:r w:rsidRPr="00CB5053">
        <w:rPr>
          <w:rFonts w:cs="Times New Roman"/>
          <w:b/>
        </w:rPr>
        <w:tab/>
      </w:r>
      <w:r w:rsidRPr="00CB5053">
        <w:rPr>
          <w:rFonts w:cs="Times New Roman"/>
          <w:b/>
        </w:rPr>
        <w:tab/>
      </w:r>
      <w:r w:rsidRPr="00CB5053">
        <w:rPr>
          <w:rFonts w:cs="Times New Roman"/>
          <w:b/>
        </w:rPr>
        <w:tab/>
      </w:r>
      <w:r w:rsidRPr="00CB5053">
        <w:rPr>
          <w:rFonts w:cs="Times New Roman"/>
          <w:b/>
        </w:rPr>
        <w:tab/>
      </w:r>
      <w:r w:rsidRPr="00CB5053">
        <w:rPr>
          <w:rFonts w:cs="Times New Roman"/>
          <w:b/>
        </w:rPr>
        <w:tab/>
      </w:r>
      <w:r w:rsidR="00E23500" w:rsidRPr="00CB5053">
        <w:rPr>
          <w:rFonts w:cs="Times New Roman"/>
          <w:b/>
        </w:rPr>
        <w:t xml:space="preserve">          </w:t>
      </w:r>
      <w:r w:rsidR="00C37BF4" w:rsidRPr="00CB5053">
        <w:rPr>
          <w:rFonts w:cs="Times New Roman"/>
        </w:rPr>
        <w:t>Ferenczy Ernő Ervin polgármester</w:t>
      </w:r>
    </w:p>
    <w:p w14:paraId="2C561A77" w14:textId="0C4C15E5" w:rsidR="00D15E31" w:rsidRPr="00CB5053" w:rsidRDefault="00D15E31" w:rsidP="00C37BF4">
      <w:pPr>
        <w:jc w:val="both"/>
        <w:rPr>
          <w:rFonts w:cs="Times New Roman"/>
        </w:rPr>
      </w:pPr>
      <w:r w:rsidRPr="00CB5053">
        <w:rPr>
          <w:rFonts w:cs="Times New Roman"/>
          <w:b/>
        </w:rPr>
        <w:t xml:space="preserve">A </w:t>
      </w:r>
      <w:r w:rsidR="00AE1C5D">
        <w:rPr>
          <w:rFonts w:cs="Times New Roman"/>
          <w:b/>
        </w:rPr>
        <w:t>döntés</w:t>
      </w:r>
      <w:r w:rsidRPr="00CB5053">
        <w:rPr>
          <w:rFonts w:cs="Times New Roman"/>
          <w:b/>
        </w:rPr>
        <w:t xml:space="preserve"> elfogadásához szükséges többség típusa: </w:t>
      </w:r>
      <w:r w:rsidRPr="00CB5053">
        <w:rPr>
          <w:rFonts w:cs="Times New Roman"/>
          <w:b/>
        </w:rPr>
        <w:tab/>
      </w:r>
      <w:r w:rsidR="005A5D23" w:rsidRPr="00CB5053">
        <w:rPr>
          <w:rFonts w:cs="Times New Roman"/>
        </w:rPr>
        <w:t>minősített</w:t>
      </w:r>
    </w:p>
    <w:p w14:paraId="7E421DB2" w14:textId="77777777" w:rsidR="00D15E31" w:rsidRPr="00CB5053" w:rsidRDefault="00D15E31" w:rsidP="00C37BF4">
      <w:pPr>
        <w:jc w:val="both"/>
        <w:rPr>
          <w:rFonts w:cs="Times New Roman"/>
        </w:rPr>
      </w:pPr>
    </w:p>
    <w:p w14:paraId="497A2708" w14:textId="77777777" w:rsidR="00D15E31" w:rsidRPr="00CB5053" w:rsidRDefault="00D15E31" w:rsidP="00C37BF4">
      <w:pPr>
        <w:jc w:val="center"/>
        <w:rPr>
          <w:rFonts w:cs="Times New Roman"/>
          <w:b/>
          <w:i/>
        </w:rPr>
      </w:pPr>
      <w:r w:rsidRPr="00CB5053">
        <w:rPr>
          <w:rFonts w:cs="Times New Roman"/>
          <w:b/>
          <w:i/>
        </w:rPr>
        <w:t>ELŐTERJESZTÉS</w:t>
      </w:r>
    </w:p>
    <w:p w14:paraId="6E383100" w14:textId="106E6ED9" w:rsidR="00D15E31" w:rsidRPr="00CB5053" w:rsidRDefault="00D15E31" w:rsidP="00C37BF4">
      <w:pPr>
        <w:jc w:val="center"/>
        <w:rPr>
          <w:rFonts w:cs="Times New Roman"/>
          <w:i/>
        </w:rPr>
      </w:pPr>
      <w:r w:rsidRPr="00CB5053">
        <w:rPr>
          <w:rFonts w:cs="Times New Roman"/>
          <w:i/>
        </w:rPr>
        <w:t xml:space="preserve">Zebegény Község Képviselő-testületének </w:t>
      </w:r>
      <w:r w:rsidR="00BA56EE" w:rsidRPr="00CB5053">
        <w:rPr>
          <w:rFonts w:cs="Times New Roman"/>
          <w:i/>
        </w:rPr>
        <w:t>2025.0</w:t>
      </w:r>
      <w:r w:rsidR="00E23500" w:rsidRPr="00CB5053">
        <w:rPr>
          <w:rFonts w:cs="Times New Roman"/>
          <w:i/>
        </w:rPr>
        <w:t>2</w:t>
      </w:r>
      <w:r w:rsidR="00F155D2">
        <w:rPr>
          <w:rFonts w:cs="Times New Roman"/>
          <w:i/>
        </w:rPr>
        <w:t>.2</w:t>
      </w:r>
      <w:r w:rsidR="004549F5">
        <w:rPr>
          <w:rFonts w:cs="Times New Roman"/>
          <w:i/>
        </w:rPr>
        <w:t>7</w:t>
      </w:r>
      <w:r w:rsidR="00F155D2">
        <w:rPr>
          <w:rFonts w:cs="Times New Roman"/>
          <w:i/>
        </w:rPr>
        <w:t>.</w:t>
      </w:r>
      <w:r w:rsidRPr="00CB5053">
        <w:rPr>
          <w:rFonts w:cs="Times New Roman"/>
          <w:i/>
        </w:rPr>
        <w:t xml:space="preserve"> napján tartandó ülésére</w:t>
      </w:r>
    </w:p>
    <w:p w14:paraId="7CBCB7B2" w14:textId="09F69915" w:rsidR="00D15E31" w:rsidRPr="00CB5053" w:rsidRDefault="004526DD" w:rsidP="00D16A05">
      <w:pPr>
        <w:pBdr>
          <w:top w:val="single" w:sz="4" w:space="1" w:color="auto"/>
          <w:left w:val="single" w:sz="4" w:space="4" w:color="auto"/>
          <w:bottom w:val="single" w:sz="4" w:space="1" w:color="auto"/>
          <w:right w:val="single" w:sz="4" w:space="4" w:color="auto"/>
        </w:pBdr>
        <w:jc w:val="center"/>
        <w:rPr>
          <w:rFonts w:cs="Times New Roman"/>
          <w:b/>
          <w:bCs/>
        </w:rPr>
      </w:pPr>
      <w:r w:rsidRPr="00CB5053">
        <w:rPr>
          <w:rFonts w:cs="Times New Roman"/>
          <w:b/>
          <w:lang w:eastAsia="ar-SA"/>
        </w:rPr>
        <w:t xml:space="preserve">Javaslat </w:t>
      </w:r>
      <w:r w:rsidR="00E27564" w:rsidRPr="00CB5053">
        <w:rPr>
          <w:rFonts w:cs="Times New Roman"/>
          <w:b/>
          <w:lang w:eastAsia="ar-SA"/>
        </w:rPr>
        <w:t xml:space="preserve">Zebegény Község </w:t>
      </w:r>
      <w:r w:rsidR="00CC0717" w:rsidRPr="00CB5053">
        <w:rPr>
          <w:rFonts w:cs="Times New Roman"/>
          <w:b/>
          <w:lang w:eastAsia="ar-SA"/>
        </w:rPr>
        <w:t>Önkormányzatának 2025. évi költségvetésére</w:t>
      </w:r>
    </w:p>
    <w:p w14:paraId="6EE01AAD" w14:textId="77777777" w:rsidR="00D15E31" w:rsidRPr="00CB5053" w:rsidRDefault="00D15E31" w:rsidP="00C37BF4">
      <w:pPr>
        <w:jc w:val="both"/>
        <w:rPr>
          <w:rFonts w:cs="Times New Roman"/>
        </w:rPr>
      </w:pPr>
    </w:p>
    <w:p w14:paraId="23AEB495" w14:textId="77777777" w:rsidR="00E23500" w:rsidRPr="00CB5053" w:rsidRDefault="00E23500" w:rsidP="00E23500">
      <w:pPr>
        <w:tabs>
          <w:tab w:val="left" w:pos="480"/>
        </w:tabs>
        <w:jc w:val="both"/>
        <w:rPr>
          <w:rFonts w:cs="Times New Roman"/>
          <w:b/>
          <w:bCs/>
        </w:rPr>
      </w:pPr>
    </w:p>
    <w:p w14:paraId="26995C33" w14:textId="79049AA0" w:rsidR="00673BB8" w:rsidRPr="00CB5053" w:rsidRDefault="00673BB8" w:rsidP="00673BB8">
      <w:pPr>
        <w:jc w:val="both"/>
        <w:rPr>
          <w:rFonts w:cs="Times New Roman"/>
          <w:b/>
        </w:rPr>
      </w:pPr>
      <w:r w:rsidRPr="00CB5053">
        <w:rPr>
          <w:rFonts w:cs="Times New Roman"/>
          <w:b/>
        </w:rPr>
        <w:t>Tisztelt Képviselő-testület!</w:t>
      </w:r>
    </w:p>
    <w:p w14:paraId="6472E3B3" w14:textId="77777777" w:rsidR="00673BB8" w:rsidRPr="00CB5053" w:rsidRDefault="00673BB8" w:rsidP="00673BB8">
      <w:pPr>
        <w:jc w:val="both"/>
        <w:rPr>
          <w:rFonts w:cs="Times New Roman"/>
        </w:rPr>
      </w:pPr>
    </w:p>
    <w:p w14:paraId="269623B8" w14:textId="72D21CC1" w:rsidR="00673BB8" w:rsidRPr="00CB5053" w:rsidRDefault="00673BB8" w:rsidP="00673BB8">
      <w:pPr>
        <w:jc w:val="both"/>
        <w:rPr>
          <w:rFonts w:cs="Times New Roman"/>
        </w:rPr>
      </w:pPr>
      <w:r w:rsidRPr="00CB5053">
        <w:rPr>
          <w:rFonts w:cs="Times New Roman"/>
        </w:rPr>
        <w:t xml:space="preserve">A jegyző által előterjesztett tárgyévi költségvetési rendelettervezetet a polgármester minden évben az </w:t>
      </w:r>
      <w:r w:rsidRPr="00CB5053">
        <w:rPr>
          <w:rFonts w:cs="Times New Roman"/>
          <w:u w:val="single"/>
        </w:rPr>
        <w:t>államháztartásról szóló 2011. évi CXCV. törvény. 24. § (3) bekezdése</w:t>
      </w:r>
      <w:r w:rsidRPr="00CB5053">
        <w:rPr>
          <w:rFonts w:cs="Times New Roman"/>
        </w:rPr>
        <w:t xml:space="preserve"> alapján február 15. napjáig kötelezően beterjeszti a képviselő-testület elé, amelyről legkésőbb tárgyév március 15-ig rendeletet alkotnak. A fenti jogszabályi előírásoknak megfelelően kerül benyújtásra Zebegény Község Önkormányzatának 2025. évi költségvetési rendelet-tervezete. </w:t>
      </w:r>
    </w:p>
    <w:p w14:paraId="68E50D94" w14:textId="77777777" w:rsidR="00673BB8" w:rsidRPr="00CB5053" w:rsidRDefault="00673BB8" w:rsidP="00673BB8">
      <w:pPr>
        <w:jc w:val="both"/>
        <w:rPr>
          <w:rFonts w:cs="Times New Roman"/>
        </w:rPr>
      </w:pPr>
    </w:p>
    <w:p w14:paraId="3646C866" w14:textId="77777777" w:rsidR="00673BB8" w:rsidRPr="00CB5053" w:rsidRDefault="00673BB8" w:rsidP="00673BB8">
      <w:pPr>
        <w:jc w:val="both"/>
        <w:rPr>
          <w:rFonts w:cs="Times New Roman"/>
          <w:i/>
          <w:iCs/>
        </w:rPr>
      </w:pPr>
      <w:r w:rsidRPr="00CB5053">
        <w:rPr>
          <w:rFonts w:cs="Times New Roman"/>
          <w:i/>
          <w:iCs/>
        </w:rPr>
        <w:t>1. A tervezett bevételi és kiadási előirányzati összegek részletezése</w:t>
      </w:r>
    </w:p>
    <w:p w14:paraId="5482BE88" w14:textId="77777777" w:rsidR="00673BB8" w:rsidRPr="00CB5053" w:rsidRDefault="00673BB8" w:rsidP="00673BB8">
      <w:pPr>
        <w:jc w:val="both"/>
        <w:rPr>
          <w:rFonts w:cs="Times New Roman"/>
        </w:rPr>
      </w:pPr>
    </w:p>
    <w:p w14:paraId="36D43A34" w14:textId="2B0F3E95" w:rsidR="00673BB8" w:rsidRPr="00CB5053" w:rsidRDefault="00673BB8" w:rsidP="00673BB8">
      <w:pPr>
        <w:jc w:val="both"/>
        <w:rPr>
          <w:rFonts w:cs="Times New Roman"/>
        </w:rPr>
      </w:pPr>
      <w:r w:rsidRPr="00CB5053">
        <w:rPr>
          <w:rFonts w:cs="Times New Roman"/>
        </w:rPr>
        <w:t xml:space="preserve">A tervezett bevételi és kiadási költségvetési főösszeg: </w:t>
      </w:r>
      <w:r w:rsidR="00D3542C">
        <w:rPr>
          <w:rFonts w:cs="Times New Roman"/>
        </w:rPr>
        <w:t>643.617.129</w:t>
      </w:r>
      <w:r w:rsidRPr="00CB5053">
        <w:rPr>
          <w:rFonts w:cs="Times New Roman"/>
        </w:rPr>
        <w:t xml:space="preserve"> Ft, amely összegből a </w:t>
      </w:r>
      <w:r w:rsidR="009A0F58" w:rsidRPr="00CB5053">
        <w:rPr>
          <w:rFonts w:cs="Times New Roman"/>
        </w:rPr>
        <w:t>Zebegényi Napraforgó Óvoda és Konyha</w:t>
      </w:r>
      <w:r w:rsidRPr="00CB5053">
        <w:rPr>
          <w:rFonts w:cs="Times New Roman"/>
        </w:rPr>
        <w:t xml:space="preserve"> intézmény finanszírozása </w:t>
      </w:r>
      <w:r w:rsidR="00F13889" w:rsidRPr="00CB5053">
        <w:rPr>
          <w:rFonts w:cs="Times New Roman"/>
        </w:rPr>
        <w:t>149.160.757</w:t>
      </w:r>
      <w:r w:rsidRPr="00CB5053">
        <w:rPr>
          <w:rFonts w:cs="Times New Roman"/>
        </w:rPr>
        <w:t xml:space="preserve"> Ft összeget tesz ki.</w:t>
      </w:r>
    </w:p>
    <w:p w14:paraId="06C9ABB8" w14:textId="77777777" w:rsidR="00673BB8" w:rsidRPr="00CB5053" w:rsidRDefault="00673BB8" w:rsidP="00673BB8">
      <w:pPr>
        <w:jc w:val="both"/>
        <w:rPr>
          <w:rFonts w:cs="Times New Roman"/>
        </w:rPr>
      </w:pPr>
    </w:p>
    <w:p w14:paraId="01CD689F" w14:textId="77777777" w:rsidR="00673BB8" w:rsidRPr="00CB5053" w:rsidRDefault="00673BB8" w:rsidP="00673BB8">
      <w:pPr>
        <w:tabs>
          <w:tab w:val="center" w:pos="6804"/>
        </w:tabs>
        <w:jc w:val="center"/>
        <w:rPr>
          <w:rFonts w:cs="Times New Roman"/>
          <w:b/>
          <w:bCs/>
        </w:rPr>
      </w:pPr>
      <w:r w:rsidRPr="00CB5053">
        <w:rPr>
          <w:rFonts w:cs="Times New Roman"/>
          <w:b/>
          <w:bCs/>
        </w:rPr>
        <w:t>1. számú táblázat</w:t>
      </w:r>
    </w:p>
    <w:p w14:paraId="403346C5" w14:textId="77777777" w:rsidR="00673BB8" w:rsidRPr="00CB5053" w:rsidRDefault="00673BB8" w:rsidP="00673BB8">
      <w:pPr>
        <w:tabs>
          <w:tab w:val="center" w:pos="6804"/>
        </w:tabs>
        <w:jc w:val="center"/>
        <w:rPr>
          <w:rFonts w:cs="Times New Roman"/>
        </w:rPr>
      </w:pPr>
      <w:r w:rsidRPr="00CB5053">
        <w:rPr>
          <w:rFonts w:cs="Times New Roman"/>
        </w:rPr>
        <w:t>A 2025. évi költségvetési bevételek rovatonként</w:t>
      </w:r>
    </w:p>
    <w:p w14:paraId="0A2ED774" w14:textId="77777777" w:rsidR="00673BB8" w:rsidRPr="00CB5053" w:rsidRDefault="00673BB8" w:rsidP="00673BB8">
      <w:pPr>
        <w:tabs>
          <w:tab w:val="center" w:pos="6804"/>
        </w:tabs>
        <w:jc w:val="both"/>
        <w:rPr>
          <w:rFonts w:cs="Times New Roman"/>
        </w:rPr>
      </w:pPr>
    </w:p>
    <w:tbl>
      <w:tblPr>
        <w:tblW w:w="9067" w:type="dxa"/>
        <w:tblCellMar>
          <w:left w:w="70" w:type="dxa"/>
          <w:right w:w="70" w:type="dxa"/>
        </w:tblCellMar>
        <w:tblLook w:val="04A0" w:firstRow="1" w:lastRow="0" w:firstColumn="1" w:lastColumn="0" w:noHBand="0" w:noVBand="1"/>
      </w:tblPr>
      <w:tblGrid>
        <w:gridCol w:w="380"/>
        <w:gridCol w:w="891"/>
        <w:gridCol w:w="5954"/>
        <w:gridCol w:w="1842"/>
      </w:tblGrid>
      <w:tr w:rsidR="00673BB8" w:rsidRPr="00CB5053" w14:paraId="06A1CA09" w14:textId="77777777" w:rsidTr="00D957A6">
        <w:trPr>
          <w:trHeight w:val="315"/>
        </w:trPr>
        <w:tc>
          <w:tcPr>
            <w:tcW w:w="3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20C2620" w14:textId="77777777" w:rsidR="00673BB8" w:rsidRPr="00CB5053" w:rsidRDefault="00673BB8" w:rsidP="002D2EB8">
            <w:pPr>
              <w:jc w:val="center"/>
              <w:rPr>
                <w:rFonts w:cs="Times New Roman"/>
                <w:color w:val="000000"/>
              </w:rPr>
            </w:pPr>
            <w:r w:rsidRPr="00CB5053">
              <w:rPr>
                <w:rFonts w:cs="Times New Roman"/>
                <w:color w:val="000000"/>
              </w:rPr>
              <w:t> </w:t>
            </w:r>
          </w:p>
        </w:tc>
        <w:tc>
          <w:tcPr>
            <w:tcW w:w="891" w:type="dxa"/>
            <w:tcBorders>
              <w:top w:val="single" w:sz="4" w:space="0" w:color="808080"/>
              <w:left w:val="nil"/>
              <w:bottom w:val="single" w:sz="4" w:space="0" w:color="808080"/>
              <w:right w:val="single" w:sz="4" w:space="0" w:color="808080"/>
            </w:tcBorders>
            <w:shd w:val="clear" w:color="auto" w:fill="auto"/>
            <w:noWrap/>
            <w:vAlign w:val="center"/>
            <w:hideMark/>
          </w:tcPr>
          <w:p w14:paraId="671F812D" w14:textId="77777777" w:rsidR="00673BB8" w:rsidRPr="00CB5053" w:rsidRDefault="00673BB8" w:rsidP="002D2EB8">
            <w:pPr>
              <w:jc w:val="center"/>
              <w:rPr>
                <w:rFonts w:cs="Times New Roman"/>
                <w:color w:val="000000"/>
              </w:rPr>
            </w:pPr>
            <w:r w:rsidRPr="00CB5053">
              <w:rPr>
                <w:rFonts w:cs="Times New Roman"/>
                <w:color w:val="000000"/>
              </w:rPr>
              <w:t>A</w:t>
            </w:r>
          </w:p>
        </w:tc>
        <w:tc>
          <w:tcPr>
            <w:tcW w:w="5954" w:type="dxa"/>
            <w:tcBorders>
              <w:top w:val="single" w:sz="4" w:space="0" w:color="808080"/>
              <w:left w:val="nil"/>
              <w:bottom w:val="single" w:sz="4" w:space="0" w:color="808080"/>
              <w:right w:val="single" w:sz="4" w:space="0" w:color="808080"/>
            </w:tcBorders>
            <w:shd w:val="clear" w:color="auto" w:fill="auto"/>
            <w:noWrap/>
            <w:vAlign w:val="center"/>
            <w:hideMark/>
          </w:tcPr>
          <w:p w14:paraId="3EAB763C" w14:textId="77777777" w:rsidR="00673BB8" w:rsidRPr="00CB5053" w:rsidRDefault="00673BB8" w:rsidP="002D2EB8">
            <w:pPr>
              <w:jc w:val="center"/>
              <w:rPr>
                <w:rFonts w:cs="Times New Roman"/>
                <w:color w:val="000000"/>
              </w:rPr>
            </w:pPr>
            <w:r w:rsidRPr="00CB5053">
              <w:rPr>
                <w:rFonts w:cs="Times New Roman"/>
                <w:color w:val="000000"/>
              </w:rPr>
              <w:t>B</w:t>
            </w:r>
          </w:p>
        </w:tc>
        <w:tc>
          <w:tcPr>
            <w:tcW w:w="1842" w:type="dxa"/>
            <w:tcBorders>
              <w:top w:val="single" w:sz="4" w:space="0" w:color="808080"/>
              <w:left w:val="nil"/>
              <w:bottom w:val="single" w:sz="4" w:space="0" w:color="808080"/>
              <w:right w:val="single" w:sz="4" w:space="0" w:color="808080"/>
            </w:tcBorders>
            <w:shd w:val="clear" w:color="auto" w:fill="auto"/>
            <w:noWrap/>
            <w:vAlign w:val="center"/>
            <w:hideMark/>
          </w:tcPr>
          <w:p w14:paraId="52E3C24C" w14:textId="77777777" w:rsidR="00673BB8" w:rsidRPr="00CB5053" w:rsidRDefault="00673BB8" w:rsidP="002D2EB8">
            <w:pPr>
              <w:jc w:val="center"/>
              <w:rPr>
                <w:rFonts w:cs="Times New Roman"/>
                <w:color w:val="000000"/>
              </w:rPr>
            </w:pPr>
            <w:r w:rsidRPr="00CB5053">
              <w:rPr>
                <w:rFonts w:cs="Times New Roman"/>
                <w:color w:val="000000"/>
              </w:rPr>
              <w:t>C</w:t>
            </w:r>
          </w:p>
        </w:tc>
      </w:tr>
      <w:tr w:rsidR="00673BB8" w:rsidRPr="00CB5053" w14:paraId="4A060F44" w14:textId="77777777" w:rsidTr="00D957A6">
        <w:trPr>
          <w:trHeight w:val="630"/>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07D06861" w14:textId="77777777" w:rsidR="00673BB8" w:rsidRPr="00CB5053" w:rsidRDefault="00673BB8" w:rsidP="002D2EB8">
            <w:pPr>
              <w:jc w:val="center"/>
              <w:rPr>
                <w:rFonts w:cs="Times New Roman"/>
                <w:color w:val="000000"/>
              </w:rPr>
            </w:pPr>
            <w:r w:rsidRPr="00CB5053">
              <w:rPr>
                <w:rFonts w:cs="Times New Roman"/>
                <w:color w:val="000000"/>
              </w:rPr>
              <w:t>1</w:t>
            </w:r>
          </w:p>
        </w:tc>
        <w:tc>
          <w:tcPr>
            <w:tcW w:w="891" w:type="dxa"/>
            <w:tcBorders>
              <w:top w:val="nil"/>
              <w:left w:val="nil"/>
              <w:bottom w:val="single" w:sz="4" w:space="0" w:color="808080"/>
              <w:right w:val="single" w:sz="4" w:space="0" w:color="808080"/>
            </w:tcBorders>
            <w:shd w:val="clear" w:color="auto" w:fill="auto"/>
            <w:noWrap/>
            <w:vAlign w:val="center"/>
            <w:hideMark/>
          </w:tcPr>
          <w:p w14:paraId="6141120D" w14:textId="77777777" w:rsidR="00673BB8" w:rsidRPr="00CB5053" w:rsidRDefault="00673BB8" w:rsidP="002D2EB8">
            <w:pPr>
              <w:jc w:val="center"/>
              <w:rPr>
                <w:rFonts w:cs="Times New Roman"/>
                <w:b/>
                <w:bCs/>
                <w:color w:val="000000"/>
              </w:rPr>
            </w:pPr>
            <w:r w:rsidRPr="00CB5053">
              <w:rPr>
                <w:rFonts w:cs="Times New Roman"/>
                <w:b/>
                <w:bCs/>
                <w:color w:val="000000"/>
              </w:rPr>
              <w:t>Rovat</w:t>
            </w:r>
          </w:p>
        </w:tc>
        <w:tc>
          <w:tcPr>
            <w:tcW w:w="5954" w:type="dxa"/>
            <w:tcBorders>
              <w:top w:val="nil"/>
              <w:left w:val="nil"/>
              <w:bottom w:val="single" w:sz="4" w:space="0" w:color="808080"/>
              <w:right w:val="single" w:sz="4" w:space="0" w:color="808080"/>
            </w:tcBorders>
            <w:shd w:val="clear" w:color="auto" w:fill="auto"/>
            <w:vAlign w:val="center"/>
            <w:hideMark/>
          </w:tcPr>
          <w:p w14:paraId="185E5B23" w14:textId="77777777" w:rsidR="00673BB8" w:rsidRPr="00CB5053" w:rsidRDefault="00673BB8" w:rsidP="002D2EB8">
            <w:pPr>
              <w:jc w:val="center"/>
              <w:rPr>
                <w:rFonts w:cs="Times New Roman"/>
                <w:b/>
                <w:bCs/>
                <w:color w:val="000000"/>
              </w:rPr>
            </w:pPr>
            <w:r w:rsidRPr="00CB5053">
              <w:rPr>
                <w:rFonts w:cs="Times New Roman"/>
                <w:b/>
                <w:bCs/>
                <w:color w:val="000000"/>
              </w:rPr>
              <w:t>Bevételi előirányzatok</w:t>
            </w:r>
          </w:p>
        </w:tc>
        <w:tc>
          <w:tcPr>
            <w:tcW w:w="1842" w:type="dxa"/>
            <w:tcBorders>
              <w:top w:val="nil"/>
              <w:left w:val="nil"/>
              <w:bottom w:val="single" w:sz="4" w:space="0" w:color="808080"/>
              <w:right w:val="single" w:sz="4" w:space="0" w:color="808080"/>
            </w:tcBorders>
            <w:shd w:val="clear" w:color="auto" w:fill="auto"/>
            <w:vAlign w:val="center"/>
            <w:hideMark/>
          </w:tcPr>
          <w:p w14:paraId="76DAFC18" w14:textId="77777777" w:rsidR="00673BB8" w:rsidRPr="00CB5053" w:rsidRDefault="00673BB8" w:rsidP="002D2EB8">
            <w:pPr>
              <w:jc w:val="center"/>
              <w:rPr>
                <w:rFonts w:cs="Times New Roman"/>
                <w:b/>
                <w:bCs/>
                <w:color w:val="000000"/>
              </w:rPr>
            </w:pPr>
            <w:r w:rsidRPr="00CB5053">
              <w:rPr>
                <w:rFonts w:cs="Times New Roman"/>
                <w:b/>
                <w:bCs/>
                <w:color w:val="000000"/>
              </w:rPr>
              <w:t>2025. évi előirányzat</w:t>
            </w:r>
          </w:p>
        </w:tc>
      </w:tr>
      <w:tr w:rsidR="00F13889" w:rsidRPr="00CB5053" w14:paraId="3E619A44"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658488EE" w14:textId="77777777" w:rsidR="00F13889" w:rsidRPr="00CB5053" w:rsidRDefault="00F13889" w:rsidP="00F13889">
            <w:pPr>
              <w:jc w:val="center"/>
              <w:rPr>
                <w:rFonts w:cs="Times New Roman"/>
                <w:color w:val="000000"/>
              </w:rPr>
            </w:pPr>
            <w:r w:rsidRPr="00CB5053">
              <w:rPr>
                <w:rFonts w:cs="Times New Roman"/>
                <w:color w:val="000000"/>
              </w:rPr>
              <w:t>2</w:t>
            </w:r>
          </w:p>
        </w:tc>
        <w:tc>
          <w:tcPr>
            <w:tcW w:w="891" w:type="dxa"/>
            <w:tcBorders>
              <w:top w:val="nil"/>
              <w:left w:val="nil"/>
              <w:bottom w:val="single" w:sz="4" w:space="0" w:color="808080"/>
              <w:right w:val="single" w:sz="4" w:space="0" w:color="808080"/>
            </w:tcBorders>
            <w:shd w:val="clear" w:color="auto" w:fill="auto"/>
            <w:noWrap/>
            <w:vAlign w:val="center"/>
            <w:hideMark/>
          </w:tcPr>
          <w:p w14:paraId="2885FB83" w14:textId="77777777" w:rsidR="00F13889" w:rsidRPr="00CB5053" w:rsidRDefault="00F13889" w:rsidP="00F13889">
            <w:pPr>
              <w:jc w:val="center"/>
              <w:rPr>
                <w:rFonts w:cs="Times New Roman"/>
                <w:color w:val="000000"/>
              </w:rPr>
            </w:pPr>
            <w:r w:rsidRPr="00CB5053">
              <w:rPr>
                <w:rFonts w:cs="Times New Roman"/>
                <w:color w:val="000000"/>
              </w:rPr>
              <w:t>B1</w:t>
            </w:r>
          </w:p>
        </w:tc>
        <w:tc>
          <w:tcPr>
            <w:tcW w:w="5954" w:type="dxa"/>
            <w:tcBorders>
              <w:top w:val="nil"/>
              <w:left w:val="nil"/>
              <w:bottom w:val="single" w:sz="4" w:space="0" w:color="808080"/>
              <w:right w:val="single" w:sz="4" w:space="0" w:color="808080"/>
            </w:tcBorders>
            <w:shd w:val="clear" w:color="auto" w:fill="auto"/>
            <w:noWrap/>
            <w:vAlign w:val="center"/>
            <w:hideMark/>
          </w:tcPr>
          <w:p w14:paraId="370E9D64" w14:textId="77777777" w:rsidR="00F13889" w:rsidRPr="00CB5053" w:rsidRDefault="00F13889" w:rsidP="00F13889">
            <w:pPr>
              <w:rPr>
                <w:rFonts w:cs="Times New Roman"/>
                <w:color w:val="000000"/>
              </w:rPr>
            </w:pPr>
            <w:r w:rsidRPr="00CB5053">
              <w:rPr>
                <w:rFonts w:cs="Times New Roman"/>
                <w:color w:val="000000"/>
              </w:rPr>
              <w:t>Működési célú támogatások ÁH-n belülről</w:t>
            </w:r>
          </w:p>
        </w:tc>
        <w:tc>
          <w:tcPr>
            <w:tcW w:w="1842" w:type="dxa"/>
            <w:tcBorders>
              <w:top w:val="nil"/>
              <w:left w:val="nil"/>
              <w:bottom w:val="single" w:sz="4" w:space="0" w:color="808080"/>
              <w:right w:val="single" w:sz="4" w:space="0" w:color="808080"/>
            </w:tcBorders>
            <w:shd w:val="clear" w:color="auto" w:fill="auto"/>
            <w:noWrap/>
            <w:vAlign w:val="center"/>
          </w:tcPr>
          <w:p w14:paraId="46B8E623" w14:textId="7F6559C8" w:rsidR="00F13889" w:rsidRPr="00CB5053" w:rsidRDefault="00D3542C" w:rsidP="00F13889">
            <w:pPr>
              <w:jc w:val="right"/>
              <w:rPr>
                <w:rFonts w:cs="Times New Roman"/>
                <w:color w:val="000000"/>
              </w:rPr>
            </w:pPr>
            <w:r>
              <w:rPr>
                <w:rFonts w:cs="Times New Roman"/>
                <w:color w:val="000000"/>
              </w:rPr>
              <w:t>219.924.863</w:t>
            </w:r>
            <w:r w:rsidR="00F13889" w:rsidRPr="00CB5053">
              <w:rPr>
                <w:rFonts w:cs="Times New Roman"/>
                <w:color w:val="000000"/>
              </w:rPr>
              <w:t xml:space="preserve"> Ft</w:t>
            </w:r>
          </w:p>
        </w:tc>
      </w:tr>
      <w:tr w:rsidR="00F13889" w:rsidRPr="00CB5053" w14:paraId="351491CF"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167FC78" w14:textId="77777777" w:rsidR="00F13889" w:rsidRPr="00CB5053" w:rsidRDefault="00F13889" w:rsidP="00F13889">
            <w:pPr>
              <w:jc w:val="center"/>
              <w:rPr>
                <w:rFonts w:cs="Times New Roman"/>
                <w:color w:val="000000"/>
              </w:rPr>
            </w:pPr>
            <w:r w:rsidRPr="00CB5053">
              <w:rPr>
                <w:rFonts w:cs="Times New Roman"/>
                <w:color w:val="000000"/>
              </w:rPr>
              <w:t>3</w:t>
            </w:r>
          </w:p>
        </w:tc>
        <w:tc>
          <w:tcPr>
            <w:tcW w:w="891" w:type="dxa"/>
            <w:tcBorders>
              <w:top w:val="nil"/>
              <w:left w:val="nil"/>
              <w:bottom w:val="single" w:sz="4" w:space="0" w:color="808080"/>
              <w:right w:val="single" w:sz="4" w:space="0" w:color="808080"/>
            </w:tcBorders>
            <w:shd w:val="clear" w:color="auto" w:fill="auto"/>
            <w:noWrap/>
            <w:vAlign w:val="center"/>
            <w:hideMark/>
          </w:tcPr>
          <w:p w14:paraId="4D4D524C" w14:textId="77777777" w:rsidR="00F13889" w:rsidRPr="00CB5053" w:rsidRDefault="00F13889" w:rsidP="00F13889">
            <w:pPr>
              <w:jc w:val="center"/>
              <w:rPr>
                <w:rFonts w:cs="Times New Roman"/>
                <w:color w:val="000000"/>
              </w:rPr>
            </w:pPr>
            <w:r w:rsidRPr="00CB5053">
              <w:rPr>
                <w:rFonts w:cs="Times New Roman"/>
                <w:color w:val="000000"/>
              </w:rPr>
              <w:t>B2</w:t>
            </w:r>
          </w:p>
        </w:tc>
        <w:tc>
          <w:tcPr>
            <w:tcW w:w="5954" w:type="dxa"/>
            <w:tcBorders>
              <w:top w:val="nil"/>
              <w:left w:val="nil"/>
              <w:bottom w:val="single" w:sz="4" w:space="0" w:color="808080"/>
              <w:right w:val="single" w:sz="4" w:space="0" w:color="808080"/>
            </w:tcBorders>
            <w:shd w:val="clear" w:color="auto" w:fill="auto"/>
            <w:noWrap/>
            <w:vAlign w:val="center"/>
            <w:hideMark/>
          </w:tcPr>
          <w:p w14:paraId="2A5B0B1F" w14:textId="77777777" w:rsidR="00F13889" w:rsidRPr="00CB5053" w:rsidRDefault="00F13889" w:rsidP="00F13889">
            <w:pPr>
              <w:rPr>
                <w:rFonts w:cs="Times New Roman"/>
                <w:color w:val="000000"/>
              </w:rPr>
            </w:pPr>
            <w:r w:rsidRPr="00CB5053">
              <w:rPr>
                <w:rFonts w:cs="Times New Roman"/>
                <w:color w:val="000000"/>
              </w:rPr>
              <w:t>Felhalmozási célú támogatások ÁH-n belülről</w:t>
            </w:r>
          </w:p>
        </w:tc>
        <w:tc>
          <w:tcPr>
            <w:tcW w:w="1842" w:type="dxa"/>
            <w:tcBorders>
              <w:top w:val="nil"/>
              <w:left w:val="nil"/>
              <w:bottom w:val="single" w:sz="4" w:space="0" w:color="808080"/>
              <w:right w:val="single" w:sz="4" w:space="0" w:color="808080"/>
            </w:tcBorders>
            <w:shd w:val="clear" w:color="auto" w:fill="auto"/>
            <w:noWrap/>
            <w:vAlign w:val="center"/>
          </w:tcPr>
          <w:p w14:paraId="01C6721E" w14:textId="4D224376" w:rsidR="00F13889" w:rsidRPr="00CB5053" w:rsidRDefault="00F13889" w:rsidP="00F13889">
            <w:pPr>
              <w:jc w:val="right"/>
              <w:rPr>
                <w:rFonts w:cs="Times New Roman"/>
                <w:color w:val="000000"/>
              </w:rPr>
            </w:pPr>
            <w:r w:rsidRPr="00CB5053">
              <w:rPr>
                <w:rFonts w:cs="Times New Roman"/>
                <w:color w:val="000000"/>
              </w:rPr>
              <w:t>149.200.600 Ft</w:t>
            </w:r>
          </w:p>
        </w:tc>
      </w:tr>
      <w:tr w:rsidR="00F13889" w:rsidRPr="00CB5053" w14:paraId="4FFEF836"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12A92C8" w14:textId="77777777" w:rsidR="00F13889" w:rsidRPr="00CB5053" w:rsidRDefault="00F13889" w:rsidP="00F13889">
            <w:pPr>
              <w:jc w:val="center"/>
              <w:rPr>
                <w:rFonts w:cs="Times New Roman"/>
                <w:color w:val="000000"/>
              </w:rPr>
            </w:pPr>
            <w:r w:rsidRPr="00CB5053">
              <w:rPr>
                <w:rFonts w:cs="Times New Roman"/>
                <w:color w:val="000000"/>
              </w:rPr>
              <w:t>4</w:t>
            </w:r>
          </w:p>
        </w:tc>
        <w:tc>
          <w:tcPr>
            <w:tcW w:w="891" w:type="dxa"/>
            <w:tcBorders>
              <w:top w:val="nil"/>
              <w:left w:val="nil"/>
              <w:bottom w:val="single" w:sz="4" w:space="0" w:color="808080"/>
              <w:right w:val="single" w:sz="4" w:space="0" w:color="808080"/>
            </w:tcBorders>
            <w:shd w:val="clear" w:color="auto" w:fill="auto"/>
            <w:noWrap/>
            <w:vAlign w:val="center"/>
            <w:hideMark/>
          </w:tcPr>
          <w:p w14:paraId="094DF8AC" w14:textId="77777777" w:rsidR="00F13889" w:rsidRPr="00CB5053" w:rsidRDefault="00F13889" w:rsidP="00F13889">
            <w:pPr>
              <w:jc w:val="center"/>
              <w:rPr>
                <w:rFonts w:cs="Times New Roman"/>
                <w:color w:val="000000"/>
              </w:rPr>
            </w:pPr>
            <w:r w:rsidRPr="00CB5053">
              <w:rPr>
                <w:rFonts w:cs="Times New Roman"/>
                <w:color w:val="000000"/>
              </w:rPr>
              <w:t>B3</w:t>
            </w:r>
          </w:p>
        </w:tc>
        <w:tc>
          <w:tcPr>
            <w:tcW w:w="5954" w:type="dxa"/>
            <w:tcBorders>
              <w:top w:val="nil"/>
              <w:left w:val="nil"/>
              <w:bottom w:val="single" w:sz="4" w:space="0" w:color="808080"/>
              <w:right w:val="single" w:sz="4" w:space="0" w:color="808080"/>
            </w:tcBorders>
            <w:shd w:val="clear" w:color="auto" w:fill="auto"/>
            <w:noWrap/>
            <w:vAlign w:val="center"/>
            <w:hideMark/>
          </w:tcPr>
          <w:p w14:paraId="0F499543" w14:textId="77777777" w:rsidR="00F13889" w:rsidRPr="00CB5053" w:rsidRDefault="00F13889" w:rsidP="00F13889">
            <w:pPr>
              <w:rPr>
                <w:rFonts w:cs="Times New Roman"/>
                <w:color w:val="000000"/>
              </w:rPr>
            </w:pPr>
            <w:r w:rsidRPr="00CB5053">
              <w:rPr>
                <w:rFonts w:cs="Times New Roman"/>
                <w:color w:val="000000"/>
              </w:rPr>
              <w:t>Közhatalmi bevételek</w:t>
            </w:r>
          </w:p>
        </w:tc>
        <w:tc>
          <w:tcPr>
            <w:tcW w:w="1842" w:type="dxa"/>
            <w:tcBorders>
              <w:top w:val="nil"/>
              <w:left w:val="nil"/>
              <w:bottom w:val="single" w:sz="4" w:space="0" w:color="808080"/>
              <w:right w:val="single" w:sz="4" w:space="0" w:color="808080"/>
            </w:tcBorders>
            <w:shd w:val="clear" w:color="auto" w:fill="auto"/>
            <w:noWrap/>
            <w:vAlign w:val="center"/>
          </w:tcPr>
          <w:p w14:paraId="14EFD65A" w14:textId="56B8A9D2" w:rsidR="00F13889" w:rsidRPr="00CB5053" w:rsidRDefault="00F13889" w:rsidP="00F13889">
            <w:pPr>
              <w:jc w:val="right"/>
              <w:rPr>
                <w:rFonts w:cs="Times New Roman"/>
                <w:color w:val="000000"/>
              </w:rPr>
            </w:pPr>
            <w:r w:rsidRPr="00CB5053">
              <w:rPr>
                <w:rFonts w:cs="Times New Roman"/>
                <w:color w:val="000000"/>
              </w:rPr>
              <w:t>93.700.000 Ft</w:t>
            </w:r>
          </w:p>
        </w:tc>
      </w:tr>
      <w:tr w:rsidR="00F13889" w:rsidRPr="00CB5053" w14:paraId="16B5C934"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03850E55" w14:textId="77777777" w:rsidR="00F13889" w:rsidRPr="00CB5053" w:rsidRDefault="00F13889" w:rsidP="00F13889">
            <w:pPr>
              <w:jc w:val="center"/>
              <w:rPr>
                <w:rFonts w:cs="Times New Roman"/>
                <w:color w:val="000000"/>
              </w:rPr>
            </w:pPr>
            <w:r w:rsidRPr="00CB5053">
              <w:rPr>
                <w:rFonts w:cs="Times New Roman"/>
                <w:color w:val="000000"/>
              </w:rPr>
              <w:t>5</w:t>
            </w:r>
          </w:p>
        </w:tc>
        <w:tc>
          <w:tcPr>
            <w:tcW w:w="891" w:type="dxa"/>
            <w:tcBorders>
              <w:top w:val="nil"/>
              <w:left w:val="nil"/>
              <w:bottom w:val="single" w:sz="4" w:space="0" w:color="808080"/>
              <w:right w:val="single" w:sz="4" w:space="0" w:color="808080"/>
            </w:tcBorders>
            <w:shd w:val="clear" w:color="auto" w:fill="auto"/>
            <w:noWrap/>
            <w:vAlign w:val="center"/>
            <w:hideMark/>
          </w:tcPr>
          <w:p w14:paraId="228376C6" w14:textId="77777777" w:rsidR="00F13889" w:rsidRPr="00CB5053" w:rsidRDefault="00F13889" w:rsidP="00F13889">
            <w:pPr>
              <w:jc w:val="center"/>
              <w:rPr>
                <w:rFonts w:cs="Times New Roman"/>
                <w:color w:val="000000"/>
              </w:rPr>
            </w:pPr>
            <w:r w:rsidRPr="00CB5053">
              <w:rPr>
                <w:rFonts w:cs="Times New Roman"/>
                <w:color w:val="000000"/>
              </w:rPr>
              <w:t>B4</w:t>
            </w:r>
          </w:p>
        </w:tc>
        <w:tc>
          <w:tcPr>
            <w:tcW w:w="5954" w:type="dxa"/>
            <w:tcBorders>
              <w:top w:val="nil"/>
              <w:left w:val="nil"/>
              <w:bottom w:val="single" w:sz="4" w:space="0" w:color="808080"/>
              <w:right w:val="single" w:sz="4" w:space="0" w:color="808080"/>
            </w:tcBorders>
            <w:shd w:val="clear" w:color="auto" w:fill="auto"/>
            <w:noWrap/>
            <w:vAlign w:val="center"/>
            <w:hideMark/>
          </w:tcPr>
          <w:p w14:paraId="28703DA2" w14:textId="77777777" w:rsidR="00F13889" w:rsidRPr="00CB5053" w:rsidRDefault="00F13889" w:rsidP="00F13889">
            <w:pPr>
              <w:rPr>
                <w:rFonts w:cs="Times New Roman"/>
                <w:color w:val="000000"/>
              </w:rPr>
            </w:pPr>
            <w:r w:rsidRPr="00CB5053">
              <w:rPr>
                <w:rFonts w:cs="Times New Roman"/>
                <w:color w:val="000000"/>
              </w:rPr>
              <w:t>Működési bevételek</w:t>
            </w:r>
          </w:p>
        </w:tc>
        <w:tc>
          <w:tcPr>
            <w:tcW w:w="1842" w:type="dxa"/>
            <w:tcBorders>
              <w:top w:val="nil"/>
              <w:left w:val="nil"/>
              <w:bottom w:val="single" w:sz="4" w:space="0" w:color="808080"/>
              <w:right w:val="single" w:sz="4" w:space="0" w:color="808080"/>
            </w:tcBorders>
            <w:shd w:val="clear" w:color="auto" w:fill="auto"/>
            <w:noWrap/>
            <w:vAlign w:val="center"/>
          </w:tcPr>
          <w:p w14:paraId="74F93010" w14:textId="1221B2C4" w:rsidR="00F13889" w:rsidRPr="00CB5053" w:rsidRDefault="00F13889" w:rsidP="00F13889">
            <w:pPr>
              <w:jc w:val="right"/>
              <w:rPr>
                <w:rFonts w:cs="Times New Roman"/>
                <w:color w:val="000000"/>
              </w:rPr>
            </w:pPr>
            <w:r w:rsidRPr="00CB5053">
              <w:rPr>
                <w:rFonts w:cs="Times New Roman"/>
                <w:color w:val="000000"/>
              </w:rPr>
              <w:t>64.125.943 Ft</w:t>
            </w:r>
          </w:p>
        </w:tc>
      </w:tr>
      <w:tr w:rsidR="00F13889" w:rsidRPr="00CB5053" w14:paraId="0B47612D"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56F49F3D" w14:textId="77777777" w:rsidR="00F13889" w:rsidRPr="00CB5053" w:rsidRDefault="00F13889" w:rsidP="00F13889">
            <w:pPr>
              <w:jc w:val="center"/>
              <w:rPr>
                <w:rFonts w:cs="Times New Roman"/>
                <w:color w:val="000000"/>
              </w:rPr>
            </w:pPr>
            <w:r w:rsidRPr="00CB5053">
              <w:rPr>
                <w:rFonts w:cs="Times New Roman"/>
                <w:color w:val="000000"/>
              </w:rPr>
              <w:t>6</w:t>
            </w:r>
          </w:p>
        </w:tc>
        <w:tc>
          <w:tcPr>
            <w:tcW w:w="891" w:type="dxa"/>
            <w:tcBorders>
              <w:top w:val="nil"/>
              <w:left w:val="nil"/>
              <w:bottom w:val="single" w:sz="4" w:space="0" w:color="808080"/>
              <w:right w:val="single" w:sz="4" w:space="0" w:color="808080"/>
            </w:tcBorders>
            <w:shd w:val="clear" w:color="auto" w:fill="auto"/>
            <w:noWrap/>
            <w:vAlign w:val="center"/>
            <w:hideMark/>
          </w:tcPr>
          <w:p w14:paraId="018DCEB7" w14:textId="77777777" w:rsidR="00F13889" w:rsidRPr="00CB5053" w:rsidRDefault="00F13889" w:rsidP="00F13889">
            <w:pPr>
              <w:jc w:val="center"/>
              <w:rPr>
                <w:rFonts w:cs="Times New Roman"/>
                <w:color w:val="000000"/>
              </w:rPr>
            </w:pPr>
            <w:r w:rsidRPr="00CB5053">
              <w:rPr>
                <w:rFonts w:cs="Times New Roman"/>
                <w:color w:val="000000"/>
              </w:rPr>
              <w:t>B5</w:t>
            </w:r>
          </w:p>
        </w:tc>
        <w:tc>
          <w:tcPr>
            <w:tcW w:w="5954" w:type="dxa"/>
            <w:tcBorders>
              <w:top w:val="nil"/>
              <w:left w:val="nil"/>
              <w:bottom w:val="single" w:sz="4" w:space="0" w:color="808080"/>
              <w:right w:val="single" w:sz="4" w:space="0" w:color="808080"/>
            </w:tcBorders>
            <w:shd w:val="clear" w:color="auto" w:fill="auto"/>
            <w:noWrap/>
            <w:vAlign w:val="center"/>
            <w:hideMark/>
          </w:tcPr>
          <w:p w14:paraId="383FF702" w14:textId="77777777" w:rsidR="00F13889" w:rsidRPr="00CB5053" w:rsidRDefault="00F13889" w:rsidP="00F13889">
            <w:pPr>
              <w:rPr>
                <w:rFonts w:cs="Times New Roman"/>
                <w:color w:val="000000"/>
              </w:rPr>
            </w:pPr>
            <w:r w:rsidRPr="00CB5053">
              <w:rPr>
                <w:rFonts w:cs="Times New Roman"/>
                <w:color w:val="000000"/>
              </w:rPr>
              <w:t>Felhalmozási bevételek</w:t>
            </w:r>
          </w:p>
        </w:tc>
        <w:tc>
          <w:tcPr>
            <w:tcW w:w="1842" w:type="dxa"/>
            <w:tcBorders>
              <w:top w:val="nil"/>
              <w:left w:val="nil"/>
              <w:bottom w:val="single" w:sz="4" w:space="0" w:color="808080"/>
              <w:right w:val="single" w:sz="4" w:space="0" w:color="808080"/>
            </w:tcBorders>
            <w:shd w:val="clear" w:color="auto" w:fill="auto"/>
            <w:noWrap/>
            <w:vAlign w:val="center"/>
          </w:tcPr>
          <w:p w14:paraId="08F3C7DF" w14:textId="239569E7" w:rsidR="00F13889" w:rsidRPr="00CB5053" w:rsidRDefault="00F13889" w:rsidP="00F13889">
            <w:pPr>
              <w:jc w:val="right"/>
              <w:rPr>
                <w:rFonts w:cs="Times New Roman"/>
                <w:color w:val="000000"/>
              </w:rPr>
            </w:pPr>
            <w:r w:rsidRPr="00CB5053">
              <w:rPr>
                <w:rFonts w:cs="Times New Roman"/>
                <w:color w:val="000000"/>
              </w:rPr>
              <w:t>73.899.714 Ft</w:t>
            </w:r>
          </w:p>
        </w:tc>
      </w:tr>
      <w:tr w:rsidR="00F13889" w:rsidRPr="00CB5053" w14:paraId="4B8F671D"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C67A070" w14:textId="77777777" w:rsidR="00F13889" w:rsidRPr="00CB5053" w:rsidRDefault="00F13889" w:rsidP="00F13889">
            <w:pPr>
              <w:jc w:val="center"/>
              <w:rPr>
                <w:rFonts w:cs="Times New Roman"/>
                <w:color w:val="000000"/>
              </w:rPr>
            </w:pPr>
            <w:r w:rsidRPr="00CB5053">
              <w:rPr>
                <w:rFonts w:cs="Times New Roman"/>
                <w:color w:val="000000"/>
              </w:rPr>
              <w:t>7</w:t>
            </w:r>
          </w:p>
        </w:tc>
        <w:tc>
          <w:tcPr>
            <w:tcW w:w="891" w:type="dxa"/>
            <w:tcBorders>
              <w:top w:val="nil"/>
              <w:left w:val="nil"/>
              <w:bottom w:val="single" w:sz="4" w:space="0" w:color="808080"/>
              <w:right w:val="single" w:sz="4" w:space="0" w:color="808080"/>
            </w:tcBorders>
            <w:shd w:val="clear" w:color="auto" w:fill="auto"/>
            <w:noWrap/>
            <w:vAlign w:val="center"/>
            <w:hideMark/>
          </w:tcPr>
          <w:p w14:paraId="3E82BF28" w14:textId="77777777" w:rsidR="00F13889" w:rsidRPr="00CB5053" w:rsidRDefault="00F13889" w:rsidP="00F13889">
            <w:pPr>
              <w:jc w:val="center"/>
              <w:rPr>
                <w:rFonts w:cs="Times New Roman"/>
                <w:color w:val="000000"/>
              </w:rPr>
            </w:pPr>
            <w:r w:rsidRPr="00CB5053">
              <w:rPr>
                <w:rFonts w:cs="Times New Roman"/>
                <w:color w:val="000000"/>
              </w:rPr>
              <w:t>B6</w:t>
            </w:r>
          </w:p>
        </w:tc>
        <w:tc>
          <w:tcPr>
            <w:tcW w:w="5954" w:type="dxa"/>
            <w:tcBorders>
              <w:top w:val="nil"/>
              <w:left w:val="nil"/>
              <w:bottom w:val="single" w:sz="4" w:space="0" w:color="808080"/>
              <w:right w:val="single" w:sz="4" w:space="0" w:color="808080"/>
            </w:tcBorders>
            <w:shd w:val="clear" w:color="auto" w:fill="auto"/>
            <w:noWrap/>
            <w:vAlign w:val="center"/>
            <w:hideMark/>
          </w:tcPr>
          <w:p w14:paraId="38EC2C89" w14:textId="77777777" w:rsidR="00F13889" w:rsidRPr="00CB5053" w:rsidRDefault="00F13889" w:rsidP="00F13889">
            <w:pPr>
              <w:rPr>
                <w:rFonts w:cs="Times New Roman"/>
                <w:color w:val="000000"/>
              </w:rPr>
            </w:pPr>
            <w:r w:rsidRPr="00CB5053">
              <w:rPr>
                <w:rFonts w:cs="Times New Roman"/>
                <w:color w:val="000000"/>
              </w:rPr>
              <w:t>Működési célú átvett pénzeszközök</w:t>
            </w:r>
          </w:p>
        </w:tc>
        <w:tc>
          <w:tcPr>
            <w:tcW w:w="1842" w:type="dxa"/>
            <w:tcBorders>
              <w:top w:val="nil"/>
              <w:left w:val="nil"/>
              <w:bottom w:val="single" w:sz="4" w:space="0" w:color="808080"/>
              <w:right w:val="single" w:sz="4" w:space="0" w:color="808080"/>
            </w:tcBorders>
            <w:shd w:val="clear" w:color="auto" w:fill="auto"/>
            <w:noWrap/>
            <w:vAlign w:val="center"/>
          </w:tcPr>
          <w:p w14:paraId="577556CA" w14:textId="183AC5F3" w:rsidR="00F13889" w:rsidRPr="00CB5053" w:rsidRDefault="00F13889" w:rsidP="00F13889">
            <w:pPr>
              <w:jc w:val="right"/>
              <w:rPr>
                <w:rFonts w:cs="Times New Roman"/>
                <w:color w:val="000000"/>
              </w:rPr>
            </w:pPr>
            <w:r w:rsidRPr="00CB5053">
              <w:rPr>
                <w:rFonts w:cs="Times New Roman"/>
                <w:color w:val="000000"/>
              </w:rPr>
              <w:t>120.000 Ft</w:t>
            </w:r>
          </w:p>
        </w:tc>
      </w:tr>
      <w:tr w:rsidR="00F13889" w:rsidRPr="00CB5053" w14:paraId="44039E6D"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5773944F" w14:textId="77777777" w:rsidR="00F13889" w:rsidRPr="00CB5053" w:rsidRDefault="00F13889" w:rsidP="00F13889">
            <w:pPr>
              <w:jc w:val="center"/>
              <w:rPr>
                <w:rFonts w:cs="Times New Roman"/>
                <w:color w:val="000000"/>
              </w:rPr>
            </w:pPr>
            <w:r w:rsidRPr="00CB5053">
              <w:rPr>
                <w:rFonts w:cs="Times New Roman"/>
                <w:color w:val="000000"/>
              </w:rPr>
              <w:t>8</w:t>
            </w:r>
          </w:p>
        </w:tc>
        <w:tc>
          <w:tcPr>
            <w:tcW w:w="891" w:type="dxa"/>
            <w:tcBorders>
              <w:top w:val="nil"/>
              <w:left w:val="nil"/>
              <w:bottom w:val="single" w:sz="4" w:space="0" w:color="808080"/>
              <w:right w:val="single" w:sz="4" w:space="0" w:color="808080"/>
            </w:tcBorders>
            <w:shd w:val="clear" w:color="auto" w:fill="auto"/>
            <w:noWrap/>
            <w:vAlign w:val="center"/>
            <w:hideMark/>
          </w:tcPr>
          <w:p w14:paraId="080D6D33" w14:textId="77777777" w:rsidR="00F13889" w:rsidRPr="00CB5053" w:rsidRDefault="00F13889" w:rsidP="00F13889">
            <w:pPr>
              <w:jc w:val="center"/>
              <w:rPr>
                <w:rFonts w:cs="Times New Roman"/>
                <w:color w:val="000000"/>
              </w:rPr>
            </w:pPr>
            <w:r w:rsidRPr="00CB5053">
              <w:rPr>
                <w:rFonts w:cs="Times New Roman"/>
                <w:color w:val="000000"/>
              </w:rPr>
              <w:t>B7</w:t>
            </w:r>
          </w:p>
        </w:tc>
        <w:tc>
          <w:tcPr>
            <w:tcW w:w="5954" w:type="dxa"/>
            <w:tcBorders>
              <w:top w:val="nil"/>
              <w:left w:val="nil"/>
              <w:bottom w:val="single" w:sz="4" w:space="0" w:color="808080"/>
              <w:right w:val="single" w:sz="4" w:space="0" w:color="808080"/>
            </w:tcBorders>
            <w:shd w:val="clear" w:color="auto" w:fill="auto"/>
            <w:noWrap/>
            <w:vAlign w:val="center"/>
            <w:hideMark/>
          </w:tcPr>
          <w:p w14:paraId="0622F07C" w14:textId="77777777" w:rsidR="00F13889" w:rsidRPr="00CB5053" w:rsidRDefault="00F13889" w:rsidP="00F13889">
            <w:pPr>
              <w:rPr>
                <w:rFonts w:cs="Times New Roman"/>
                <w:color w:val="000000"/>
              </w:rPr>
            </w:pPr>
            <w:r w:rsidRPr="00CB5053">
              <w:rPr>
                <w:rFonts w:cs="Times New Roman"/>
                <w:color w:val="000000"/>
              </w:rPr>
              <w:t>Felhalmozási célú átvett pénzeszközök</w:t>
            </w:r>
          </w:p>
        </w:tc>
        <w:tc>
          <w:tcPr>
            <w:tcW w:w="1842" w:type="dxa"/>
            <w:tcBorders>
              <w:top w:val="nil"/>
              <w:left w:val="nil"/>
              <w:bottom w:val="single" w:sz="4" w:space="0" w:color="808080"/>
              <w:right w:val="single" w:sz="4" w:space="0" w:color="808080"/>
            </w:tcBorders>
            <w:shd w:val="clear" w:color="auto" w:fill="auto"/>
            <w:noWrap/>
            <w:vAlign w:val="center"/>
          </w:tcPr>
          <w:p w14:paraId="057065F2" w14:textId="2EC7870A" w:rsidR="00F13889" w:rsidRPr="00CB5053" w:rsidRDefault="00F13889" w:rsidP="00F13889">
            <w:pPr>
              <w:jc w:val="right"/>
              <w:rPr>
                <w:rFonts w:cs="Times New Roman"/>
                <w:color w:val="000000"/>
              </w:rPr>
            </w:pPr>
            <w:r w:rsidRPr="00CB5053">
              <w:rPr>
                <w:rFonts w:cs="Times New Roman"/>
                <w:color w:val="000000"/>
              </w:rPr>
              <w:t>0 Ft</w:t>
            </w:r>
          </w:p>
        </w:tc>
      </w:tr>
      <w:tr w:rsidR="00F13889" w:rsidRPr="00CB5053" w14:paraId="3F3F8707"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59E18733" w14:textId="77777777" w:rsidR="00F13889" w:rsidRPr="00CB5053" w:rsidRDefault="00F13889" w:rsidP="00F13889">
            <w:pPr>
              <w:jc w:val="center"/>
              <w:rPr>
                <w:rFonts w:cs="Times New Roman"/>
                <w:color w:val="000000"/>
              </w:rPr>
            </w:pPr>
            <w:r w:rsidRPr="00CB5053">
              <w:rPr>
                <w:rFonts w:cs="Times New Roman"/>
                <w:color w:val="000000"/>
              </w:rPr>
              <w:t>9</w:t>
            </w:r>
          </w:p>
        </w:tc>
        <w:tc>
          <w:tcPr>
            <w:tcW w:w="891" w:type="dxa"/>
            <w:tcBorders>
              <w:top w:val="nil"/>
              <w:left w:val="nil"/>
              <w:bottom w:val="single" w:sz="4" w:space="0" w:color="808080"/>
              <w:right w:val="single" w:sz="4" w:space="0" w:color="808080"/>
            </w:tcBorders>
            <w:shd w:val="clear" w:color="auto" w:fill="auto"/>
            <w:noWrap/>
            <w:vAlign w:val="center"/>
            <w:hideMark/>
          </w:tcPr>
          <w:p w14:paraId="3C0C93EF" w14:textId="77777777" w:rsidR="00F13889" w:rsidRPr="00CB5053" w:rsidRDefault="00F13889" w:rsidP="00F13889">
            <w:pPr>
              <w:jc w:val="center"/>
              <w:rPr>
                <w:rFonts w:cs="Times New Roman"/>
                <w:color w:val="000000"/>
              </w:rPr>
            </w:pPr>
            <w:r w:rsidRPr="00CB5053">
              <w:rPr>
                <w:rFonts w:cs="Times New Roman"/>
                <w:color w:val="000000"/>
              </w:rPr>
              <w:t>B8</w:t>
            </w:r>
          </w:p>
        </w:tc>
        <w:tc>
          <w:tcPr>
            <w:tcW w:w="5954" w:type="dxa"/>
            <w:tcBorders>
              <w:top w:val="nil"/>
              <w:left w:val="nil"/>
              <w:bottom w:val="single" w:sz="4" w:space="0" w:color="808080"/>
              <w:right w:val="single" w:sz="4" w:space="0" w:color="808080"/>
            </w:tcBorders>
            <w:shd w:val="clear" w:color="auto" w:fill="auto"/>
            <w:noWrap/>
            <w:vAlign w:val="center"/>
            <w:hideMark/>
          </w:tcPr>
          <w:p w14:paraId="4993FA96" w14:textId="77777777" w:rsidR="00F13889" w:rsidRPr="00CB5053" w:rsidRDefault="00F13889" w:rsidP="00F13889">
            <w:pPr>
              <w:rPr>
                <w:rFonts w:cs="Times New Roman"/>
                <w:color w:val="000000"/>
              </w:rPr>
            </w:pPr>
            <w:r w:rsidRPr="00CB5053">
              <w:rPr>
                <w:rFonts w:cs="Times New Roman"/>
                <w:color w:val="000000"/>
              </w:rPr>
              <w:t>Finanszírozási bevételek</w:t>
            </w:r>
          </w:p>
        </w:tc>
        <w:tc>
          <w:tcPr>
            <w:tcW w:w="1842" w:type="dxa"/>
            <w:tcBorders>
              <w:top w:val="nil"/>
              <w:left w:val="nil"/>
              <w:bottom w:val="single" w:sz="4" w:space="0" w:color="808080"/>
              <w:right w:val="single" w:sz="4" w:space="0" w:color="808080"/>
            </w:tcBorders>
            <w:shd w:val="clear" w:color="auto" w:fill="auto"/>
            <w:noWrap/>
            <w:vAlign w:val="center"/>
          </w:tcPr>
          <w:p w14:paraId="4D012043" w14:textId="51D6D387" w:rsidR="00F13889" w:rsidRPr="00CB5053" w:rsidRDefault="00F13889" w:rsidP="00F13889">
            <w:pPr>
              <w:jc w:val="right"/>
              <w:rPr>
                <w:rFonts w:cs="Times New Roman"/>
                <w:color w:val="000000"/>
              </w:rPr>
            </w:pPr>
            <w:r w:rsidRPr="00CB5053">
              <w:rPr>
                <w:rFonts w:cs="Times New Roman"/>
                <w:color w:val="000000"/>
              </w:rPr>
              <w:t>42.646.009 Ft</w:t>
            </w:r>
          </w:p>
        </w:tc>
      </w:tr>
      <w:tr w:rsidR="00F13889" w:rsidRPr="00CB5053" w14:paraId="581F8255"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032BE579" w14:textId="77777777" w:rsidR="00F13889" w:rsidRPr="00CB5053" w:rsidRDefault="00F13889" w:rsidP="00F13889">
            <w:pPr>
              <w:jc w:val="center"/>
              <w:rPr>
                <w:rFonts w:cs="Times New Roman"/>
                <w:color w:val="000000"/>
              </w:rPr>
            </w:pPr>
            <w:r w:rsidRPr="00CB5053">
              <w:rPr>
                <w:rFonts w:cs="Times New Roman"/>
                <w:color w:val="000000"/>
              </w:rPr>
              <w:t>10</w:t>
            </w:r>
          </w:p>
        </w:tc>
        <w:tc>
          <w:tcPr>
            <w:tcW w:w="891" w:type="dxa"/>
            <w:tcBorders>
              <w:top w:val="nil"/>
              <w:left w:val="nil"/>
              <w:bottom w:val="single" w:sz="4" w:space="0" w:color="808080"/>
              <w:right w:val="single" w:sz="4" w:space="0" w:color="808080"/>
            </w:tcBorders>
            <w:shd w:val="clear" w:color="auto" w:fill="auto"/>
            <w:noWrap/>
            <w:vAlign w:val="center"/>
            <w:hideMark/>
          </w:tcPr>
          <w:p w14:paraId="460F02D6" w14:textId="77777777" w:rsidR="00F13889" w:rsidRPr="00CB5053" w:rsidRDefault="00F13889" w:rsidP="00F13889">
            <w:pPr>
              <w:jc w:val="center"/>
              <w:rPr>
                <w:rFonts w:cs="Times New Roman"/>
                <w:b/>
                <w:bCs/>
                <w:color w:val="000000"/>
              </w:rPr>
            </w:pPr>
            <w:r w:rsidRPr="00CB5053">
              <w:rPr>
                <w:rFonts w:cs="Times New Roman"/>
                <w:b/>
                <w:bCs/>
                <w:color w:val="000000"/>
              </w:rPr>
              <w:t> </w:t>
            </w:r>
          </w:p>
        </w:tc>
        <w:tc>
          <w:tcPr>
            <w:tcW w:w="5954" w:type="dxa"/>
            <w:tcBorders>
              <w:top w:val="nil"/>
              <w:left w:val="nil"/>
              <w:bottom w:val="single" w:sz="4" w:space="0" w:color="808080"/>
              <w:right w:val="single" w:sz="4" w:space="0" w:color="808080"/>
            </w:tcBorders>
            <w:shd w:val="clear" w:color="auto" w:fill="auto"/>
            <w:noWrap/>
            <w:vAlign w:val="center"/>
            <w:hideMark/>
          </w:tcPr>
          <w:p w14:paraId="48ECA835" w14:textId="77777777" w:rsidR="00F13889" w:rsidRPr="00CB5053" w:rsidRDefault="00F13889" w:rsidP="00F13889">
            <w:pPr>
              <w:rPr>
                <w:rFonts w:cs="Times New Roman"/>
                <w:b/>
                <w:bCs/>
                <w:color w:val="000000"/>
              </w:rPr>
            </w:pPr>
            <w:r w:rsidRPr="00CB5053">
              <w:rPr>
                <w:rFonts w:cs="Times New Roman"/>
                <w:b/>
                <w:bCs/>
                <w:color w:val="000000"/>
              </w:rPr>
              <w:t>Összesen</w:t>
            </w:r>
          </w:p>
        </w:tc>
        <w:tc>
          <w:tcPr>
            <w:tcW w:w="1842" w:type="dxa"/>
            <w:tcBorders>
              <w:top w:val="nil"/>
              <w:left w:val="nil"/>
              <w:bottom w:val="single" w:sz="4" w:space="0" w:color="808080"/>
              <w:right w:val="single" w:sz="4" w:space="0" w:color="808080"/>
            </w:tcBorders>
            <w:shd w:val="clear" w:color="auto" w:fill="auto"/>
            <w:noWrap/>
            <w:vAlign w:val="center"/>
          </w:tcPr>
          <w:p w14:paraId="39FDC947" w14:textId="04CCBCDC" w:rsidR="00F13889" w:rsidRPr="00CB5053" w:rsidRDefault="00D3542C" w:rsidP="00F13889">
            <w:pPr>
              <w:jc w:val="right"/>
              <w:rPr>
                <w:rFonts w:cs="Times New Roman"/>
                <w:b/>
                <w:bCs/>
                <w:color w:val="000000"/>
              </w:rPr>
            </w:pPr>
            <w:r>
              <w:rPr>
                <w:rFonts w:cs="Times New Roman"/>
                <w:b/>
                <w:bCs/>
                <w:color w:val="000000"/>
              </w:rPr>
              <w:t>643.617.129</w:t>
            </w:r>
            <w:r w:rsidR="00F13889" w:rsidRPr="00CB5053">
              <w:rPr>
                <w:rFonts w:cs="Times New Roman"/>
                <w:b/>
                <w:bCs/>
                <w:color w:val="000000"/>
              </w:rPr>
              <w:t xml:space="preserve"> Ft</w:t>
            </w:r>
          </w:p>
        </w:tc>
      </w:tr>
    </w:tbl>
    <w:p w14:paraId="31C81082" w14:textId="77777777" w:rsidR="00673BB8" w:rsidRPr="00CB5053" w:rsidRDefault="00673BB8" w:rsidP="00673BB8">
      <w:pPr>
        <w:tabs>
          <w:tab w:val="center" w:pos="6804"/>
        </w:tabs>
        <w:jc w:val="center"/>
        <w:rPr>
          <w:rFonts w:cs="Times New Roman"/>
          <w:b/>
          <w:bCs/>
        </w:rPr>
      </w:pPr>
      <w:r w:rsidRPr="00CB5053">
        <w:rPr>
          <w:rFonts w:cs="Times New Roman"/>
          <w:b/>
          <w:bCs/>
        </w:rPr>
        <w:t>2. számú táblázat</w:t>
      </w:r>
    </w:p>
    <w:p w14:paraId="632E17F4" w14:textId="77777777" w:rsidR="00673BB8" w:rsidRPr="00CB5053" w:rsidRDefault="00673BB8" w:rsidP="00673BB8">
      <w:pPr>
        <w:tabs>
          <w:tab w:val="center" w:pos="6804"/>
        </w:tabs>
        <w:jc w:val="center"/>
        <w:rPr>
          <w:rFonts w:cs="Times New Roman"/>
        </w:rPr>
      </w:pPr>
      <w:r w:rsidRPr="00CB5053">
        <w:rPr>
          <w:rFonts w:cs="Times New Roman"/>
        </w:rPr>
        <w:lastRenderedPageBreak/>
        <w:t>A 2025. évi költségvetési kiadások rovatonként</w:t>
      </w:r>
    </w:p>
    <w:p w14:paraId="7A59C57A" w14:textId="77777777" w:rsidR="00673BB8" w:rsidRPr="00CB5053" w:rsidRDefault="00673BB8" w:rsidP="00673BB8">
      <w:pPr>
        <w:tabs>
          <w:tab w:val="center" w:pos="6804"/>
        </w:tabs>
        <w:jc w:val="both"/>
        <w:rPr>
          <w:rFonts w:cs="Times New Roman"/>
        </w:rPr>
      </w:pPr>
    </w:p>
    <w:tbl>
      <w:tblPr>
        <w:tblW w:w="9067" w:type="dxa"/>
        <w:tblCellMar>
          <w:left w:w="70" w:type="dxa"/>
          <w:right w:w="70" w:type="dxa"/>
        </w:tblCellMar>
        <w:tblLook w:val="04A0" w:firstRow="1" w:lastRow="0" w:firstColumn="1" w:lastColumn="0" w:noHBand="0" w:noVBand="1"/>
      </w:tblPr>
      <w:tblGrid>
        <w:gridCol w:w="380"/>
        <w:gridCol w:w="891"/>
        <w:gridCol w:w="5954"/>
        <w:gridCol w:w="1842"/>
      </w:tblGrid>
      <w:tr w:rsidR="00673BB8" w:rsidRPr="00CB5053" w14:paraId="0AB67C07" w14:textId="77777777" w:rsidTr="00D957A6">
        <w:trPr>
          <w:trHeight w:val="315"/>
        </w:trPr>
        <w:tc>
          <w:tcPr>
            <w:tcW w:w="3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0F9D15B" w14:textId="77777777" w:rsidR="00673BB8" w:rsidRPr="00CB5053" w:rsidRDefault="00673BB8" w:rsidP="002D2EB8">
            <w:pPr>
              <w:jc w:val="center"/>
              <w:rPr>
                <w:rFonts w:cs="Times New Roman"/>
                <w:color w:val="000000"/>
              </w:rPr>
            </w:pPr>
            <w:r w:rsidRPr="00CB5053">
              <w:rPr>
                <w:rFonts w:cs="Times New Roman"/>
                <w:color w:val="000000"/>
              </w:rPr>
              <w:t> </w:t>
            </w:r>
          </w:p>
        </w:tc>
        <w:tc>
          <w:tcPr>
            <w:tcW w:w="891" w:type="dxa"/>
            <w:tcBorders>
              <w:top w:val="single" w:sz="4" w:space="0" w:color="808080"/>
              <w:left w:val="nil"/>
              <w:bottom w:val="single" w:sz="4" w:space="0" w:color="808080"/>
              <w:right w:val="single" w:sz="4" w:space="0" w:color="808080"/>
            </w:tcBorders>
            <w:shd w:val="clear" w:color="auto" w:fill="auto"/>
            <w:noWrap/>
            <w:vAlign w:val="center"/>
            <w:hideMark/>
          </w:tcPr>
          <w:p w14:paraId="6AE16998" w14:textId="77777777" w:rsidR="00673BB8" w:rsidRPr="00CB5053" w:rsidRDefault="00673BB8" w:rsidP="002D2EB8">
            <w:pPr>
              <w:jc w:val="center"/>
              <w:rPr>
                <w:rFonts w:cs="Times New Roman"/>
                <w:color w:val="000000"/>
              </w:rPr>
            </w:pPr>
            <w:r w:rsidRPr="00CB5053">
              <w:rPr>
                <w:rFonts w:cs="Times New Roman"/>
                <w:color w:val="000000"/>
              </w:rPr>
              <w:t>A</w:t>
            </w:r>
          </w:p>
        </w:tc>
        <w:tc>
          <w:tcPr>
            <w:tcW w:w="5954" w:type="dxa"/>
            <w:tcBorders>
              <w:top w:val="single" w:sz="4" w:space="0" w:color="808080"/>
              <w:left w:val="nil"/>
              <w:bottom w:val="single" w:sz="4" w:space="0" w:color="808080"/>
              <w:right w:val="single" w:sz="4" w:space="0" w:color="808080"/>
            </w:tcBorders>
            <w:shd w:val="clear" w:color="auto" w:fill="auto"/>
            <w:noWrap/>
            <w:vAlign w:val="center"/>
            <w:hideMark/>
          </w:tcPr>
          <w:p w14:paraId="649CEEBE" w14:textId="77777777" w:rsidR="00673BB8" w:rsidRPr="00CB5053" w:rsidRDefault="00673BB8" w:rsidP="002D2EB8">
            <w:pPr>
              <w:jc w:val="center"/>
              <w:rPr>
                <w:rFonts w:cs="Times New Roman"/>
                <w:color w:val="000000"/>
              </w:rPr>
            </w:pPr>
            <w:r w:rsidRPr="00CB5053">
              <w:rPr>
                <w:rFonts w:cs="Times New Roman"/>
                <w:color w:val="000000"/>
              </w:rPr>
              <w:t>B</w:t>
            </w:r>
          </w:p>
        </w:tc>
        <w:tc>
          <w:tcPr>
            <w:tcW w:w="1842" w:type="dxa"/>
            <w:tcBorders>
              <w:top w:val="single" w:sz="4" w:space="0" w:color="808080"/>
              <w:left w:val="nil"/>
              <w:bottom w:val="single" w:sz="4" w:space="0" w:color="808080"/>
              <w:right w:val="single" w:sz="4" w:space="0" w:color="808080"/>
            </w:tcBorders>
            <w:shd w:val="clear" w:color="auto" w:fill="auto"/>
            <w:noWrap/>
            <w:vAlign w:val="center"/>
            <w:hideMark/>
          </w:tcPr>
          <w:p w14:paraId="737FD90B" w14:textId="77777777" w:rsidR="00673BB8" w:rsidRPr="00CB5053" w:rsidRDefault="00673BB8" w:rsidP="002D2EB8">
            <w:pPr>
              <w:jc w:val="center"/>
              <w:rPr>
                <w:rFonts w:cs="Times New Roman"/>
                <w:color w:val="000000"/>
              </w:rPr>
            </w:pPr>
            <w:r w:rsidRPr="00CB5053">
              <w:rPr>
                <w:rFonts w:cs="Times New Roman"/>
                <w:color w:val="000000"/>
              </w:rPr>
              <w:t>C</w:t>
            </w:r>
          </w:p>
        </w:tc>
      </w:tr>
      <w:tr w:rsidR="00673BB8" w:rsidRPr="00CB5053" w14:paraId="241605EE" w14:textId="77777777" w:rsidTr="00D957A6">
        <w:trPr>
          <w:trHeight w:val="630"/>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5C0C3EE" w14:textId="77777777" w:rsidR="00673BB8" w:rsidRPr="00CB5053" w:rsidRDefault="00673BB8" w:rsidP="002D2EB8">
            <w:pPr>
              <w:jc w:val="center"/>
              <w:rPr>
                <w:rFonts w:cs="Times New Roman"/>
                <w:color w:val="000000"/>
              </w:rPr>
            </w:pPr>
            <w:r w:rsidRPr="00CB5053">
              <w:rPr>
                <w:rFonts w:cs="Times New Roman"/>
                <w:color w:val="000000"/>
              </w:rPr>
              <w:t>1</w:t>
            </w:r>
          </w:p>
        </w:tc>
        <w:tc>
          <w:tcPr>
            <w:tcW w:w="891" w:type="dxa"/>
            <w:tcBorders>
              <w:top w:val="nil"/>
              <w:left w:val="nil"/>
              <w:bottom w:val="single" w:sz="4" w:space="0" w:color="808080"/>
              <w:right w:val="single" w:sz="4" w:space="0" w:color="808080"/>
            </w:tcBorders>
            <w:shd w:val="clear" w:color="auto" w:fill="auto"/>
            <w:noWrap/>
            <w:vAlign w:val="center"/>
            <w:hideMark/>
          </w:tcPr>
          <w:p w14:paraId="1F293B75" w14:textId="77777777" w:rsidR="00673BB8" w:rsidRPr="00CB5053" w:rsidRDefault="00673BB8" w:rsidP="002D2EB8">
            <w:pPr>
              <w:jc w:val="center"/>
              <w:rPr>
                <w:rFonts w:cs="Times New Roman"/>
                <w:b/>
                <w:bCs/>
                <w:color w:val="000000"/>
              </w:rPr>
            </w:pPr>
            <w:r w:rsidRPr="00CB5053">
              <w:rPr>
                <w:rFonts w:cs="Times New Roman"/>
                <w:b/>
                <w:bCs/>
                <w:color w:val="000000"/>
              </w:rPr>
              <w:t>Rovat</w:t>
            </w:r>
          </w:p>
        </w:tc>
        <w:tc>
          <w:tcPr>
            <w:tcW w:w="5954" w:type="dxa"/>
            <w:tcBorders>
              <w:top w:val="nil"/>
              <w:left w:val="nil"/>
              <w:bottom w:val="single" w:sz="4" w:space="0" w:color="808080"/>
              <w:right w:val="single" w:sz="4" w:space="0" w:color="808080"/>
            </w:tcBorders>
            <w:shd w:val="clear" w:color="auto" w:fill="auto"/>
            <w:vAlign w:val="center"/>
            <w:hideMark/>
          </w:tcPr>
          <w:p w14:paraId="0BDAC19D" w14:textId="77777777" w:rsidR="00673BB8" w:rsidRPr="00CB5053" w:rsidRDefault="00673BB8" w:rsidP="002D2EB8">
            <w:pPr>
              <w:jc w:val="center"/>
              <w:rPr>
                <w:rFonts w:cs="Times New Roman"/>
                <w:b/>
                <w:bCs/>
                <w:color w:val="000000"/>
              </w:rPr>
            </w:pPr>
            <w:r w:rsidRPr="00CB5053">
              <w:rPr>
                <w:rFonts w:cs="Times New Roman"/>
                <w:b/>
                <w:bCs/>
                <w:color w:val="000000"/>
              </w:rPr>
              <w:t>Kiadási előirányzatok</w:t>
            </w:r>
          </w:p>
        </w:tc>
        <w:tc>
          <w:tcPr>
            <w:tcW w:w="1842" w:type="dxa"/>
            <w:tcBorders>
              <w:top w:val="nil"/>
              <w:left w:val="nil"/>
              <w:bottom w:val="single" w:sz="4" w:space="0" w:color="808080"/>
              <w:right w:val="single" w:sz="4" w:space="0" w:color="808080"/>
            </w:tcBorders>
            <w:shd w:val="clear" w:color="auto" w:fill="auto"/>
            <w:vAlign w:val="center"/>
            <w:hideMark/>
          </w:tcPr>
          <w:p w14:paraId="624249CC" w14:textId="77777777" w:rsidR="00673BB8" w:rsidRPr="00CB5053" w:rsidRDefault="00673BB8" w:rsidP="002D2EB8">
            <w:pPr>
              <w:jc w:val="center"/>
              <w:rPr>
                <w:rFonts w:cs="Times New Roman"/>
                <w:b/>
                <w:bCs/>
                <w:color w:val="000000"/>
              </w:rPr>
            </w:pPr>
            <w:r w:rsidRPr="00CB5053">
              <w:rPr>
                <w:rFonts w:cs="Times New Roman"/>
                <w:b/>
                <w:bCs/>
                <w:color w:val="000000"/>
              </w:rPr>
              <w:t>2025. évi előirányzat</w:t>
            </w:r>
          </w:p>
        </w:tc>
      </w:tr>
      <w:tr w:rsidR="00F13889" w:rsidRPr="00CB5053" w14:paraId="78EAF188"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BEE47BC" w14:textId="77777777" w:rsidR="00F13889" w:rsidRPr="00CB5053" w:rsidRDefault="00F13889" w:rsidP="00F13889">
            <w:pPr>
              <w:jc w:val="center"/>
              <w:rPr>
                <w:rFonts w:cs="Times New Roman"/>
                <w:color w:val="000000"/>
              </w:rPr>
            </w:pPr>
            <w:r w:rsidRPr="00CB5053">
              <w:rPr>
                <w:rFonts w:cs="Times New Roman"/>
                <w:color w:val="000000"/>
              </w:rPr>
              <w:t>2</w:t>
            </w:r>
          </w:p>
        </w:tc>
        <w:tc>
          <w:tcPr>
            <w:tcW w:w="891" w:type="dxa"/>
            <w:tcBorders>
              <w:top w:val="nil"/>
              <w:left w:val="nil"/>
              <w:bottom w:val="single" w:sz="4" w:space="0" w:color="808080"/>
              <w:right w:val="single" w:sz="4" w:space="0" w:color="808080"/>
            </w:tcBorders>
            <w:shd w:val="clear" w:color="auto" w:fill="auto"/>
            <w:noWrap/>
            <w:vAlign w:val="center"/>
            <w:hideMark/>
          </w:tcPr>
          <w:p w14:paraId="7F42F40D" w14:textId="77777777" w:rsidR="00F13889" w:rsidRPr="00CB5053" w:rsidRDefault="00F13889" w:rsidP="00F13889">
            <w:pPr>
              <w:jc w:val="center"/>
              <w:rPr>
                <w:rFonts w:cs="Times New Roman"/>
                <w:color w:val="000000"/>
              </w:rPr>
            </w:pPr>
            <w:r w:rsidRPr="00CB5053">
              <w:rPr>
                <w:rFonts w:cs="Times New Roman"/>
                <w:color w:val="000000"/>
              </w:rPr>
              <w:t>K1</w:t>
            </w:r>
          </w:p>
        </w:tc>
        <w:tc>
          <w:tcPr>
            <w:tcW w:w="5954" w:type="dxa"/>
            <w:tcBorders>
              <w:top w:val="nil"/>
              <w:left w:val="nil"/>
              <w:bottom w:val="single" w:sz="4" w:space="0" w:color="808080"/>
              <w:right w:val="single" w:sz="4" w:space="0" w:color="808080"/>
            </w:tcBorders>
            <w:shd w:val="clear" w:color="auto" w:fill="auto"/>
            <w:noWrap/>
            <w:vAlign w:val="center"/>
            <w:hideMark/>
          </w:tcPr>
          <w:p w14:paraId="46998132" w14:textId="77777777" w:rsidR="00F13889" w:rsidRPr="00CB5053" w:rsidRDefault="00F13889" w:rsidP="00F13889">
            <w:pPr>
              <w:rPr>
                <w:rFonts w:cs="Times New Roman"/>
                <w:color w:val="000000"/>
              </w:rPr>
            </w:pPr>
            <w:r w:rsidRPr="00CB5053">
              <w:rPr>
                <w:rFonts w:cs="Times New Roman"/>
                <w:color w:val="000000"/>
              </w:rPr>
              <w:t>Személyi juttatások összesen</w:t>
            </w:r>
          </w:p>
        </w:tc>
        <w:tc>
          <w:tcPr>
            <w:tcW w:w="1842" w:type="dxa"/>
            <w:tcBorders>
              <w:top w:val="nil"/>
              <w:left w:val="nil"/>
              <w:bottom w:val="single" w:sz="4" w:space="0" w:color="808080"/>
              <w:right w:val="single" w:sz="4" w:space="0" w:color="808080"/>
            </w:tcBorders>
            <w:shd w:val="clear" w:color="auto" w:fill="auto"/>
            <w:noWrap/>
            <w:vAlign w:val="center"/>
          </w:tcPr>
          <w:p w14:paraId="09FE395A" w14:textId="7433181C" w:rsidR="00F13889" w:rsidRPr="00CB5053" w:rsidRDefault="00D3542C" w:rsidP="00F13889">
            <w:pPr>
              <w:jc w:val="right"/>
              <w:rPr>
                <w:rFonts w:cs="Times New Roman"/>
                <w:color w:val="000000"/>
              </w:rPr>
            </w:pPr>
            <w:r>
              <w:rPr>
                <w:rFonts w:cs="Times New Roman"/>
                <w:color w:val="000000"/>
              </w:rPr>
              <w:t>197.941.621</w:t>
            </w:r>
            <w:r w:rsidR="00F13889" w:rsidRPr="00CB5053">
              <w:rPr>
                <w:rFonts w:cs="Times New Roman"/>
                <w:color w:val="000000"/>
              </w:rPr>
              <w:t xml:space="preserve"> Ft</w:t>
            </w:r>
          </w:p>
        </w:tc>
      </w:tr>
      <w:tr w:rsidR="00F13889" w:rsidRPr="00CB5053" w14:paraId="6C3BDE81"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6840E551" w14:textId="77777777" w:rsidR="00F13889" w:rsidRPr="00CB5053" w:rsidRDefault="00F13889" w:rsidP="00F13889">
            <w:pPr>
              <w:jc w:val="center"/>
              <w:rPr>
                <w:rFonts w:cs="Times New Roman"/>
                <w:color w:val="000000"/>
              </w:rPr>
            </w:pPr>
            <w:r w:rsidRPr="00CB5053">
              <w:rPr>
                <w:rFonts w:cs="Times New Roman"/>
                <w:color w:val="000000"/>
              </w:rPr>
              <w:t>3</w:t>
            </w:r>
          </w:p>
        </w:tc>
        <w:tc>
          <w:tcPr>
            <w:tcW w:w="891" w:type="dxa"/>
            <w:tcBorders>
              <w:top w:val="nil"/>
              <w:left w:val="nil"/>
              <w:bottom w:val="single" w:sz="4" w:space="0" w:color="808080"/>
              <w:right w:val="single" w:sz="4" w:space="0" w:color="808080"/>
            </w:tcBorders>
            <w:shd w:val="clear" w:color="auto" w:fill="auto"/>
            <w:noWrap/>
            <w:vAlign w:val="center"/>
            <w:hideMark/>
          </w:tcPr>
          <w:p w14:paraId="1CAA3875" w14:textId="77777777" w:rsidR="00F13889" w:rsidRPr="00CB5053" w:rsidRDefault="00F13889" w:rsidP="00F13889">
            <w:pPr>
              <w:jc w:val="center"/>
              <w:rPr>
                <w:rFonts w:cs="Times New Roman"/>
                <w:color w:val="000000"/>
              </w:rPr>
            </w:pPr>
            <w:r w:rsidRPr="00CB5053">
              <w:rPr>
                <w:rFonts w:cs="Times New Roman"/>
                <w:color w:val="000000"/>
              </w:rPr>
              <w:t>K2</w:t>
            </w:r>
          </w:p>
        </w:tc>
        <w:tc>
          <w:tcPr>
            <w:tcW w:w="5954" w:type="dxa"/>
            <w:tcBorders>
              <w:top w:val="nil"/>
              <w:left w:val="nil"/>
              <w:bottom w:val="single" w:sz="4" w:space="0" w:color="808080"/>
              <w:right w:val="single" w:sz="4" w:space="0" w:color="808080"/>
            </w:tcBorders>
            <w:shd w:val="clear" w:color="auto" w:fill="auto"/>
            <w:noWrap/>
            <w:vAlign w:val="center"/>
            <w:hideMark/>
          </w:tcPr>
          <w:p w14:paraId="4944A6C9" w14:textId="77777777" w:rsidR="00F13889" w:rsidRPr="00CB5053" w:rsidRDefault="00F13889" w:rsidP="00F13889">
            <w:pPr>
              <w:rPr>
                <w:rFonts w:cs="Times New Roman"/>
                <w:color w:val="000000"/>
              </w:rPr>
            </w:pPr>
            <w:r w:rsidRPr="00CB5053">
              <w:rPr>
                <w:rFonts w:cs="Times New Roman"/>
                <w:color w:val="000000"/>
              </w:rPr>
              <w:t>Járulékok összesen</w:t>
            </w:r>
          </w:p>
        </w:tc>
        <w:tc>
          <w:tcPr>
            <w:tcW w:w="1842" w:type="dxa"/>
            <w:tcBorders>
              <w:top w:val="nil"/>
              <w:left w:val="nil"/>
              <w:bottom w:val="single" w:sz="4" w:space="0" w:color="808080"/>
              <w:right w:val="single" w:sz="4" w:space="0" w:color="808080"/>
            </w:tcBorders>
            <w:shd w:val="clear" w:color="auto" w:fill="auto"/>
            <w:noWrap/>
            <w:vAlign w:val="center"/>
          </w:tcPr>
          <w:p w14:paraId="69BF5564" w14:textId="57187F2D" w:rsidR="00F13889" w:rsidRPr="00CB5053" w:rsidRDefault="00D3542C" w:rsidP="00F13889">
            <w:pPr>
              <w:jc w:val="right"/>
              <w:rPr>
                <w:rFonts w:cs="Times New Roman"/>
                <w:color w:val="000000"/>
              </w:rPr>
            </w:pPr>
            <w:r>
              <w:rPr>
                <w:rFonts w:cs="Times New Roman"/>
                <w:color w:val="000000"/>
              </w:rPr>
              <w:t>25.145.887</w:t>
            </w:r>
            <w:r w:rsidR="00F13889" w:rsidRPr="00CB5053">
              <w:rPr>
                <w:rFonts w:cs="Times New Roman"/>
                <w:color w:val="000000"/>
              </w:rPr>
              <w:t xml:space="preserve"> Ft</w:t>
            </w:r>
          </w:p>
        </w:tc>
      </w:tr>
      <w:tr w:rsidR="00F13889" w:rsidRPr="00CB5053" w14:paraId="5265A1E6"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FD3DA65" w14:textId="77777777" w:rsidR="00F13889" w:rsidRPr="00CB5053" w:rsidRDefault="00F13889" w:rsidP="00F13889">
            <w:pPr>
              <w:jc w:val="center"/>
              <w:rPr>
                <w:rFonts w:cs="Times New Roman"/>
                <w:color w:val="000000"/>
              </w:rPr>
            </w:pPr>
            <w:r w:rsidRPr="00CB5053">
              <w:rPr>
                <w:rFonts w:cs="Times New Roman"/>
                <w:color w:val="000000"/>
              </w:rPr>
              <w:t>4</w:t>
            </w:r>
          </w:p>
        </w:tc>
        <w:tc>
          <w:tcPr>
            <w:tcW w:w="891" w:type="dxa"/>
            <w:tcBorders>
              <w:top w:val="nil"/>
              <w:left w:val="nil"/>
              <w:bottom w:val="single" w:sz="4" w:space="0" w:color="808080"/>
              <w:right w:val="single" w:sz="4" w:space="0" w:color="808080"/>
            </w:tcBorders>
            <w:shd w:val="clear" w:color="auto" w:fill="auto"/>
            <w:noWrap/>
            <w:vAlign w:val="center"/>
            <w:hideMark/>
          </w:tcPr>
          <w:p w14:paraId="0D6E4550" w14:textId="77777777" w:rsidR="00F13889" w:rsidRPr="00CB5053" w:rsidRDefault="00F13889" w:rsidP="00F13889">
            <w:pPr>
              <w:jc w:val="center"/>
              <w:rPr>
                <w:rFonts w:cs="Times New Roman"/>
                <w:color w:val="000000"/>
              </w:rPr>
            </w:pPr>
            <w:r w:rsidRPr="00CB5053">
              <w:rPr>
                <w:rFonts w:cs="Times New Roman"/>
                <w:color w:val="000000"/>
              </w:rPr>
              <w:t>K3</w:t>
            </w:r>
          </w:p>
        </w:tc>
        <w:tc>
          <w:tcPr>
            <w:tcW w:w="5954" w:type="dxa"/>
            <w:tcBorders>
              <w:top w:val="nil"/>
              <w:left w:val="nil"/>
              <w:bottom w:val="single" w:sz="4" w:space="0" w:color="808080"/>
              <w:right w:val="single" w:sz="4" w:space="0" w:color="808080"/>
            </w:tcBorders>
            <w:shd w:val="clear" w:color="auto" w:fill="auto"/>
            <w:noWrap/>
            <w:vAlign w:val="center"/>
            <w:hideMark/>
          </w:tcPr>
          <w:p w14:paraId="5A65C1C3" w14:textId="77777777" w:rsidR="00F13889" w:rsidRPr="00CB5053" w:rsidRDefault="00F13889" w:rsidP="00F13889">
            <w:pPr>
              <w:rPr>
                <w:rFonts w:cs="Times New Roman"/>
                <w:color w:val="000000"/>
              </w:rPr>
            </w:pPr>
            <w:r w:rsidRPr="00CB5053">
              <w:rPr>
                <w:rFonts w:cs="Times New Roman"/>
                <w:color w:val="000000"/>
              </w:rPr>
              <w:t>Dologi kiadások összesen</w:t>
            </w:r>
          </w:p>
        </w:tc>
        <w:tc>
          <w:tcPr>
            <w:tcW w:w="1842" w:type="dxa"/>
            <w:tcBorders>
              <w:top w:val="nil"/>
              <w:left w:val="nil"/>
              <w:bottom w:val="single" w:sz="4" w:space="0" w:color="808080"/>
              <w:right w:val="single" w:sz="4" w:space="0" w:color="808080"/>
            </w:tcBorders>
            <w:shd w:val="clear" w:color="auto" w:fill="auto"/>
            <w:noWrap/>
            <w:vAlign w:val="center"/>
          </w:tcPr>
          <w:p w14:paraId="0CC73C6C" w14:textId="2BE11DD2" w:rsidR="00F13889" w:rsidRPr="00CB5053" w:rsidRDefault="00F13889" w:rsidP="00F13889">
            <w:pPr>
              <w:jc w:val="right"/>
              <w:rPr>
                <w:rFonts w:cs="Times New Roman"/>
                <w:color w:val="000000"/>
              </w:rPr>
            </w:pPr>
            <w:r w:rsidRPr="00CB5053">
              <w:rPr>
                <w:rFonts w:cs="Times New Roman"/>
                <w:color w:val="000000"/>
              </w:rPr>
              <w:t>145.090.617 Ft</w:t>
            </w:r>
          </w:p>
        </w:tc>
      </w:tr>
      <w:tr w:rsidR="00F13889" w:rsidRPr="00CB5053" w14:paraId="6B31AA7E"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2000C3E8" w14:textId="77777777" w:rsidR="00F13889" w:rsidRPr="00CB5053" w:rsidRDefault="00F13889" w:rsidP="00F13889">
            <w:pPr>
              <w:jc w:val="center"/>
              <w:rPr>
                <w:rFonts w:cs="Times New Roman"/>
                <w:color w:val="000000"/>
              </w:rPr>
            </w:pPr>
            <w:r w:rsidRPr="00CB5053">
              <w:rPr>
                <w:rFonts w:cs="Times New Roman"/>
                <w:color w:val="000000"/>
              </w:rPr>
              <w:t>5</w:t>
            </w:r>
          </w:p>
        </w:tc>
        <w:tc>
          <w:tcPr>
            <w:tcW w:w="891" w:type="dxa"/>
            <w:tcBorders>
              <w:top w:val="nil"/>
              <w:left w:val="nil"/>
              <w:bottom w:val="single" w:sz="4" w:space="0" w:color="808080"/>
              <w:right w:val="single" w:sz="4" w:space="0" w:color="808080"/>
            </w:tcBorders>
            <w:shd w:val="clear" w:color="auto" w:fill="auto"/>
            <w:noWrap/>
            <w:vAlign w:val="center"/>
            <w:hideMark/>
          </w:tcPr>
          <w:p w14:paraId="58685C78" w14:textId="77777777" w:rsidR="00F13889" w:rsidRPr="00CB5053" w:rsidRDefault="00F13889" w:rsidP="00F13889">
            <w:pPr>
              <w:jc w:val="center"/>
              <w:rPr>
                <w:rFonts w:cs="Times New Roman"/>
                <w:color w:val="000000"/>
              </w:rPr>
            </w:pPr>
            <w:r w:rsidRPr="00CB5053">
              <w:rPr>
                <w:rFonts w:cs="Times New Roman"/>
                <w:color w:val="000000"/>
              </w:rPr>
              <w:t>K4</w:t>
            </w:r>
          </w:p>
        </w:tc>
        <w:tc>
          <w:tcPr>
            <w:tcW w:w="5954" w:type="dxa"/>
            <w:tcBorders>
              <w:top w:val="nil"/>
              <w:left w:val="nil"/>
              <w:bottom w:val="single" w:sz="4" w:space="0" w:color="808080"/>
              <w:right w:val="single" w:sz="4" w:space="0" w:color="808080"/>
            </w:tcBorders>
            <w:shd w:val="clear" w:color="auto" w:fill="auto"/>
            <w:noWrap/>
            <w:vAlign w:val="center"/>
            <w:hideMark/>
          </w:tcPr>
          <w:p w14:paraId="36B0427C" w14:textId="77777777" w:rsidR="00F13889" w:rsidRPr="00CB5053" w:rsidRDefault="00F13889" w:rsidP="00F13889">
            <w:pPr>
              <w:rPr>
                <w:rFonts w:cs="Times New Roman"/>
                <w:color w:val="000000"/>
              </w:rPr>
            </w:pPr>
            <w:r w:rsidRPr="00CB5053">
              <w:rPr>
                <w:rFonts w:cs="Times New Roman"/>
                <w:color w:val="000000"/>
              </w:rPr>
              <w:t>Ellátási díjak összesen</w:t>
            </w:r>
          </w:p>
        </w:tc>
        <w:tc>
          <w:tcPr>
            <w:tcW w:w="1842" w:type="dxa"/>
            <w:tcBorders>
              <w:top w:val="nil"/>
              <w:left w:val="nil"/>
              <w:bottom w:val="single" w:sz="4" w:space="0" w:color="808080"/>
              <w:right w:val="single" w:sz="4" w:space="0" w:color="808080"/>
            </w:tcBorders>
            <w:shd w:val="clear" w:color="auto" w:fill="auto"/>
            <w:noWrap/>
            <w:vAlign w:val="center"/>
          </w:tcPr>
          <w:p w14:paraId="22F34F30" w14:textId="54B492DD" w:rsidR="00F13889" w:rsidRPr="00CB5053" w:rsidRDefault="00F13889" w:rsidP="00F13889">
            <w:pPr>
              <w:jc w:val="right"/>
              <w:rPr>
                <w:rFonts w:cs="Times New Roman"/>
                <w:color w:val="000000"/>
              </w:rPr>
            </w:pPr>
            <w:r w:rsidRPr="00CB5053">
              <w:rPr>
                <w:rFonts w:cs="Times New Roman"/>
                <w:color w:val="000000"/>
              </w:rPr>
              <w:t>7.384.000 Ft</w:t>
            </w:r>
          </w:p>
        </w:tc>
      </w:tr>
      <w:tr w:rsidR="00F13889" w:rsidRPr="00CB5053" w14:paraId="48D14BBB"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6B669D9B" w14:textId="77777777" w:rsidR="00F13889" w:rsidRPr="00CB5053" w:rsidRDefault="00F13889" w:rsidP="00F13889">
            <w:pPr>
              <w:jc w:val="center"/>
              <w:rPr>
                <w:rFonts w:cs="Times New Roman"/>
                <w:color w:val="000000"/>
              </w:rPr>
            </w:pPr>
            <w:r w:rsidRPr="00CB5053">
              <w:rPr>
                <w:rFonts w:cs="Times New Roman"/>
                <w:color w:val="000000"/>
              </w:rPr>
              <w:t>6</w:t>
            </w:r>
          </w:p>
        </w:tc>
        <w:tc>
          <w:tcPr>
            <w:tcW w:w="891" w:type="dxa"/>
            <w:tcBorders>
              <w:top w:val="nil"/>
              <w:left w:val="nil"/>
              <w:bottom w:val="single" w:sz="4" w:space="0" w:color="808080"/>
              <w:right w:val="single" w:sz="4" w:space="0" w:color="808080"/>
            </w:tcBorders>
            <w:shd w:val="clear" w:color="auto" w:fill="auto"/>
            <w:noWrap/>
            <w:vAlign w:val="center"/>
            <w:hideMark/>
          </w:tcPr>
          <w:p w14:paraId="5AB92AA2" w14:textId="77777777" w:rsidR="00F13889" w:rsidRPr="00CB5053" w:rsidRDefault="00F13889" w:rsidP="00F13889">
            <w:pPr>
              <w:jc w:val="center"/>
              <w:rPr>
                <w:rFonts w:cs="Times New Roman"/>
                <w:color w:val="000000"/>
              </w:rPr>
            </w:pPr>
            <w:r w:rsidRPr="00CB5053">
              <w:rPr>
                <w:rFonts w:cs="Times New Roman"/>
                <w:color w:val="000000"/>
              </w:rPr>
              <w:t>K5</w:t>
            </w:r>
          </w:p>
        </w:tc>
        <w:tc>
          <w:tcPr>
            <w:tcW w:w="5954" w:type="dxa"/>
            <w:tcBorders>
              <w:top w:val="nil"/>
              <w:left w:val="nil"/>
              <w:bottom w:val="single" w:sz="4" w:space="0" w:color="808080"/>
              <w:right w:val="single" w:sz="4" w:space="0" w:color="808080"/>
            </w:tcBorders>
            <w:shd w:val="clear" w:color="auto" w:fill="auto"/>
            <w:noWrap/>
            <w:vAlign w:val="center"/>
            <w:hideMark/>
          </w:tcPr>
          <w:p w14:paraId="0CA57547" w14:textId="77777777" w:rsidR="00F13889" w:rsidRPr="00CB5053" w:rsidRDefault="00F13889" w:rsidP="00F13889">
            <w:pPr>
              <w:rPr>
                <w:rFonts w:cs="Times New Roman"/>
                <w:color w:val="000000"/>
              </w:rPr>
            </w:pPr>
            <w:r w:rsidRPr="00CB5053">
              <w:rPr>
                <w:rFonts w:cs="Times New Roman"/>
                <w:color w:val="000000"/>
              </w:rPr>
              <w:t>Egyéb működési célú kiadások</w:t>
            </w:r>
          </w:p>
        </w:tc>
        <w:tc>
          <w:tcPr>
            <w:tcW w:w="1842" w:type="dxa"/>
            <w:tcBorders>
              <w:top w:val="nil"/>
              <w:left w:val="nil"/>
              <w:bottom w:val="single" w:sz="4" w:space="0" w:color="808080"/>
              <w:right w:val="single" w:sz="4" w:space="0" w:color="808080"/>
            </w:tcBorders>
            <w:shd w:val="clear" w:color="auto" w:fill="auto"/>
            <w:noWrap/>
            <w:vAlign w:val="center"/>
          </w:tcPr>
          <w:p w14:paraId="4290D1E6" w14:textId="0BA428A1" w:rsidR="00F13889" w:rsidRPr="00CB5053" w:rsidRDefault="00F13889" w:rsidP="00F13889">
            <w:pPr>
              <w:jc w:val="right"/>
              <w:rPr>
                <w:rFonts w:cs="Times New Roman"/>
                <w:color w:val="000000"/>
              </w:rPr>
            </w:pPr>
            <w:r w:rsidRPr="00CB5053">
              <w:rPr>
                <w:rFonts w:cs="Times New Roman"/>
                <w:color w:val="000000"/>
              </w:rPr>
              <w:t>13.900.000 Ft</w:t>
            </w:r>
          </w:p>
        </w:tc>
      </w:tr>
      <w:tr w:rsidR="00F13889" w:rsidRPr="00CB5053" w14:paraId="55A569DB"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20532358" w14:textId="77777777" w:rsidR="00F13889" w:rsidRPr="00CB5053" w:rsidRDefault="00F13889" w:rsidP="00F13889">
            <w:pPr>
              <w:jc w:val="center"/>
              <w:rPr>
                <w:rFonts w:cs="Times New Roman"/>
                <w:color w:val="000000"/>
              </w:rPr>
            </w:pPr>
            <w:r w:rsidRPr="00CB5053">
              <w:rPr>
                <w:rFonts w:cs="Times New Roman"/>
                <w:color w:val="000000"/>
              </w:rPr>
              <w:t>7</w:t>
            </w:r>
          </w:p>
        </w:tc>
        <w:tc>
          <w:tcPr>
            <w:tcW w:w="891" w:type="dxa"/>
            <w:tcBorders>
              <w:top w:val="nil"/>
              <w:left w:val="nil"/>
              <w:bottom w:val="single" w:sz="4" w:space="0" w:color="808080"/>
              <w:right w:val="single" w:sz="4" w:space="0" w:color="808080"/>
            </w:tcBorders>
            <w:shd w:val="clear" w:color="auto" w:fill="auto"/>
            <w:noWrap/>
            <w:vAlign w:val="center"/>
            <w:hideMark/>
          </w:tcPr>
          <w:p w14:paraId="307FBBB7" w14:textId="77777777" w:rsidR="00F13889" w:rsidRPr="00CB5053" w:rsidRDefault="00F13889" w:rsidP="00F13889">
            <w:pPr>
              <w:jc w:val="center"/>
              <w:rPr>
                <w:rFonts w:cs="Times New Roman"/>
                <w:color w:val="000000"/>
              </w:rPr>
            </w:pPr>
            <w:r w:rsidRPr="00CB5053">
              <w:rPr>
                <w:rFonts w:cs="Times New Roman"/>
                <w:color w:val="000000"/>
              </w:rPr>
              <w:t>K6</w:t>
            </w:r>
          </w:p>
        </w:tc>
        <w:tc>
          <w:tcPr>
            <w:tcW w:w="5954" w:type="dxa"/>
            <w:tcBorders>
              <w:top w:val="nil"/>
              <w:left w:val="nil"/>
              <w:bottom w:val="single" w:sz="4" w:space="0" w:color="808080"/>
              <w:right w:val="single" w:sz="4" w:space="0" w:color="808080"/>
            </w:tcBorders>
            <w:shd w:val="clear" w:color="auto" w:fill="auto"/>
            <w:noWrap/>
            <w:vAlign w:val="center"/>
            <w:hideMark/>
          </w:tcPr>
          <w:p w14:paraId="2F511FAB" w14:textId="77777777" w:rsidR="00F13889" w:rsidRPr="00CB5053" w:rsidRDefault="00F13889" w:rsidP="00F13889">
            <w:pPr>
              <w:rPr>
                <w:rFonts w:cs="Times New Roman"/>
                <w:color w:val="000000"/>
              </w:rPr>
            </w:pPr>
            <w:r w:rsidRPr="00CB5053">
              <w:rPr>
                <w:rFonts w:cs="Times New Roman"/>
                <w:color w:val="000000"/>
              </w:rPr>
              <w:t>Beruházások</w:t>
            </w:r>
          </w:p>
        </w:tc>
        <w:tc>
          <w:tcPr>
            <w:tcW w:w="1842" w:type="dxa"/>
            <w:tcBorders>
              <w:top w:val="nil"/>
              <w:left w:val="nil"/>
              <w:bottom w:val="single" w:sz="4" w:space="0" w:color="808080"/>
              <w:right w:val="single" w:sz="4" w:space="0" w:color="808080"/>
            </w:tcBorders>
            <w:shd w:val="clear" w:color="auto" w:fill="auto"/>
            <w:noWrap/>
            <w:vAlign w:val="center"/>
          </w:tcPr>
          <w:p w14:paraId="5638A1D6" w14:textId="1E834B0F" w:rsidR="00F13889" w:rsidRPr="00CB5053" w:rsidRDefault="00F13889" w:rsidP="00F13889">
            <w:pPr>
              <w:jc w:val="right"/>
              <w:rPr>
                <w:rFonts w:cs="Times New Roman"/>
                <w:color w:val="000000"/>
              </w:rPr>
            </w:pPr>
            <w:r w:rsidRPr="00CB5053">
              <w:rPr>
                <w:rFonts w:cs="Times New Roman"/>
                <w:color w:val="000000"/>
              </w:rPr>
              <w:t>83.508.000 Ft</w:t>
            </w:r>
          </w:p>
        </w:tc>
      </w:tr>
      <w:tr w:rsidR="00F13889" w:rsidRPr="00CB5053" w14:paraId="595E843A"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5DACB9A" w14:textId="77777777" w:rsidR="00F13889" w:rsidRPr="00CB5053" w:rsidRDefault="00F13889" w:rsidP="00F13889">
            <w:pPr>
              <w:jc w:val="center"/>
              <w:rPr>
                <w:rFonts w:cs="Times New Roman"/>
                <w:color w:val="000000"/>
              </w:rPr>
            </w:pPr>
            <w:r w:rsidRPr="00CB5053">
              <w:rPr>
                <w:rFonts w:cs="Times New Roman"/>
                <w:color w:val="000000"/>
              </w:rPr>
              <w:t>8</w:t>
            </w:r>
          </w:p>
        </w:tc>
        <w:tc>
          <w:tcPr>
            <w:tcW w:w="891" w:type="dxa"/>
            <w:tcBorders>
              <w:top w:val="nil"/>
              <w:left w:val="nil"/>
              <w:bottom w:val="single" w:sz="4" w:space="0" w:color="808080"/>
              <w:right w:val="single" w:sz="4" w:space="0" w:color="808080"/>
            </w:tcBorders>
            <w:shd w:val="clear" w:color="auto" w:fill="auto"/>
            <w:noWrap/>
            <w:vAlign w:val="center"/>
            <w:hideMark/>
          </w:tcPr>
          <w:p w14:paraId="75C1B300" w14:textId="77777777" w:rsidR="00F13889" w:rsidRPr="00CB5053" w:rsidRDefault="00F13889" w:rsidP="00F13889">
            <w:pPr>
              <w:jc w:val="center"/>
              <w:rPr>
                <w:rFonts w:cs="Times New Roman"/>
                <w:color w:val="000000"/>
              </w:rPr>
            </w:pPr>
            <w:r w:rsidRPr="00CB5053">
              <w:rPr>
                <w:rFonts w:cs="Times New Roman"/>
                <w:color w:val="000000"/>
              </w:rPr>
              <w:t>K7</w:t>
            </w:r>
          </w:p>
        </w:tc>
        <w:tc>
          <w:tcPr>
            <w:tcW w:w="5954" w:type="dxa"/>
            <w:tcBorders>
              <w:top w:val="nil"/>
              <w:left w:val="nil"/>
              <w:bottom w:val="single" w:sz="4" w:space="0" w:color="808080"/>
              <w:right w:val="single" w:sz="4" w:space="0" w:color="808080"/>
            </w:tcBorders>
            <w:shd w:val="clear" w:color="auto" w:fill="auto"/>
            <w:noWrap/>
            <w:vAlign w:val="center"/>
            <w:hideMark/>
          </w:tcPr>
          <w:p w14:paraId="22FD01F6" w14:textId="77777777" w:rsidR="00F13889" w:rsidRPr="00CB5053" w:rsidRDefault="00F13889" w:rsidP="00F13889">
            <w:pPr>
              <w:rPr>
                <w:rFonts w:cs="Times New Roman"/>
                <w:color w:val="000000"/>
              </w:rPr>
            </w:pPr>
            <w:r w:rsidRPr="00CB5053">
              <w:rPr>
                <w:rFonts w:cs="Times New Roman"/>
                <w:color w:val="000000"/>
              </w:rPr>
              <w:t>Felújítások</w:t>
            </w:r>
          </w:p>
        </w:tc>
        <w:tc>
          <w:tcPr>
            <w:tcW w:w="1842" w:type="dxa"/>
            <w:tcBorders>
              <w:top w:val="nil"/>
              <w:left w:val="nil"/>
              <w:bottom w:val="single" w:sz="4" w:space="0" w:color="808080"/>
              <w:right w:val="single" w:sz="4" w:space="0" w:color="808080"/>
            </w:tcBorders>
            <w:shd w:val="clear" w:color="auto" w:fill="auto"/>
            <w:noWrap/>
            <w:vAlign w:val="center"/>
          </w:tcPr>
          <w:p w14:paraId="5F40F0B0" w14:textId="7F9D672A" w:rsidR="00F13889" w:rsidRPr="00CB5053" w:rsidRDefault="00F13889" w:rsidP="00F13889">
            <w:pPr>
              <w:jc w:val="right"/>
              <w:rPr>
                <w:rFonts w:cs="Times New Roman"/>
                <w:color w:val="000000"/>
              </w:rPr>
            </w:pPr>
            <w:r w:rsidRPr="00CB5053">
              <w:rPr>
                <w:rFonts w:cs="Times New Roman"/>
                <w:color w:val="000000"/>
              </w:rPr>
              <w:t>170.647.004 Ft</w:t>
            </w:r>
          </w:p>
        </w:tc>
      </w:tr>
      <w:tr w:rsidR="00F13889" w:rsidRPr="00CB5053" w14:paraId="30B64836"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A037B51" w14:textId="77777777" w:rsidR="00F13889" w:rsidRPr="00CB5053" w:rsidRDefault="00F13889" w:rsidP="00F13889">
            <w:pPr>
              <w:jc w:val="center"/>
              <w:rPr>
                <w:rFonts w:cs="Times New Roman"/>
                <w:color w:val="000000"/>
              </w:rPr>
            </w:pPr>
            <w:r w:rsidRPr="00CB5053">
              <w:rPr>
                <w:rFonts w:cs="Times New Roman"/>
                <w:color w:val="000000"/>
              </w:rPr>
              <w:t>9</w:t>
            </w:r>
          </w:p>
        </w:tc>
        <w:tc>
          <w:tcPr>
            <w:tcW w:w="891" w:type="dxa"/>
            <w:tcBorders>
              <w:top w:val="nil"/>
              <w:left w:val="nil"/>
              <w:bottom w:val="single" w:sz="4" w:space="0" w:color="808080"/>
              <w:right w:val="single" w:sz="4" w:space="0" w:color="808080"/>
            </w:tcBorders>
            <w:shd w:val="clear" w:color="auto" w:fill="auto"/>
            <w:noWrap/>
            <w:vAlign w:val="center"/>
            <w:hideMark/>
          </w:tcPr>
          <w:p w14:paraId="129E8887" w14:textId="77777777" w:rsidR="00F13889" w:rsidRPr="00CB5053" w:rsidRDefault="00F13889" w:rsidP="00F13889">
            <w:pPr>
              <w:jc w:val="center"/>
              <w:rPr>
                <w:rFonts w:cs="Times New Roman"/>
                <w:color w:val="000000"/>
              </w:rPr>
            </w:pPr>
            <w:r w:rsidRPr="00CB5053">
              <w:rPr>
                <w:rFonts w:cs="Times New Roman"/>
                <w:color w:val="000000"/>
              </w:rPr>
              <w:t>K8</w:t>
            </w:r>
          </w:p>
        </w:tc>
        <w:tc>
          <w:tcPr>
            <w:tcW w:w="5954" w:type="dxa"/>
            <w:tcBorders>
              <w:top w:val="nil"/>
              <w:left w:val="nil"/>
              <w:bottom w:val="single" w:sz="4" w:space="0" w:color="808080"/>
              <w:right w:val="single" w:sz="4" w:space="0" w:color="808080"/>
            </w:tcBorders>
            <w:shd w:val="clear" w:color="auto" w:fill="auto"/>
            <w:noWrap/>
            <w:vAlign w:val="center"/>
            <w:hideMark/>
          </w:tcPr>
          <w:p w14:paraId="66E85C10" w14:textId="77777777" w:rsidR="00F13889" w:rsidRPr="00CB5053" w:rsidRDefault="00F13889" w:rsidP="00F13889">
            <w:pPr>
              <w:rPr>
                <w:rFonts w:cs="Times New Roman"/>
                <w:color w:val="000000"/>
              </w:rPr>
            </w:pPr>
            <w:r w:rsidRPr="00CB5053">
              <w:rPr>
                <w:rFonts w:cs="Times New Roman"/>
                <w:color w:val="000000"/>
              </w:rPr>
              <w:t>Egyéb felhalmozási kiadások</w:t>
            </w:r>
          </w:p>
        </w:tc>
        <w:tc>
          <w:tcPr>
            <w:tcW w:w="1842" w:type="dxa"/>
            <w:tcBorders>
              <w:top w:val="nil"/>
              <w:left w:val="nil"/>
              <w:bottom w:val="single" w:sz="4" w:space="0" w:color="808080"/>
              <w:right w:val="single" w:sz="4" w:space="0" w:color="808080"/>
            </w:tcBorders>
            <w:shd w:val="clear" w:color="auto" w:fill="auto"/>
            <w:noWrap/>
            <w:vAlign w:val="center"/>
          </w:tcPr>
          <w:p w14:paraId="7B20B46A" w14:textId="0CD2B66A" w:rsidR="00F13889" w:rsidRPr="00CB5053" w:rsidRDefault="00F13889" w:rsidP="00F13889">
            <w:pPr>
              <w:jc w:val="right"/>
              <w:rPr>
                <w:rFonts w:cs="Times New Roman"/>
                <w:color w:val="000000"/>
              </w:rPr>
            </w:pPr>
            <w:r w:rsidRPr="00CB5053">
              <w:rPr>
                <w:rFonts w:cs="Times New Roman"/>
                <w:color w:val="000000"/>
              </w:rPr>
              <w:t>0 Ft</w:t>
            </w:r>
          </w:p>
        </w:tc>
      </w:tr>
      <w:tr w:rsidR="00F13889" w:rsidRPr="00CB5053" w14:paraId="465B24FF"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5BFD0347" w14:textId="77777777" w:rsidR="00F13889" w:rsidRPr="00CB5053" w:rsidRDefault="00F13889" w:rsidP="00F13889">
            <w:pPr>
              <w:jc w:val="center"/>
              <w:rPr>
                <w:rFonts w:cs="Times New Roman"/>
                <w:color w:val="000000"/>
              </w:rPr>
            </w:pPr>
            <w:r w:rsidRPr="00CB5053">
              <w:rPr>
                <w:rFonts w:cs="Times New Roman"/>
                <w:color w:val="000000"/>
              </w:rPr>
              <w:t>10</w:t>
            </w:r>
          </w:p>
        </w:tc>
        <w:tc>
          <w:tcPr>
            <w:tcW w:w="891" w:type="dxa"/>
            <w:tcBorders>
              <w:top w:val="nil"/>
              <w:left w:val="nil"/>
              <w:bottom w:val="single" w:sz="4" w:space="0" w:color="808080"/>
              <w:right w:val="single" w:sz="4" w:space="0" w:color="808080"/>
            </w:tcBorders>
            <w:shd w:val="clear" w:color="auto" w:fill="auto"/>
            <w:noWrap/>
            <w:vAlign w:val="center"/>
            <w:hideMark/>
          </w:tcPr>
          <w:p w14:paraId="14739576" w14:textId="77777777" w:rsidR="00F13889" w:rsidRPr="00CB5053" w:rsidRDefault="00F13889" w:rsidP="00F13889">
            <w:pPr>
              <w:jc w:val="center"/>
              <w:rPr>
                <w:rFonts w:cs="Times New Roman"/>
                <w:color w:val="000000"/>
              </w:rPr>
            </w:pPr>
            <w:r w:rsidRPr="00CB5053">
              <w:rPr>
                <w:rFonts w:cs="Times New Roman"/>
                <w:color w:val="000000"/>
              </w:rPr>
              <w:t>K9</w:t>
            </w:r>
          </w:p>
        </w:tc>
        <w:tc>
          <w:tcPr>
            <w:tcW w:w="5954" w:type="dxa"/>
            <w:tcBorders>
              <w:top w:val="nil"/>
              <w:left w:val="nil"/>
              <w:bottom w:val="single" w:sz="4" w:space="0" w:color="808080"/>
              <w:right w:val="single" w:sz="4" w:space="0" w:color="808080"/>
            </w:tcBorders>
            <w:shd w:val="clear" w:color="auto" w:fill="auto"/>
            <w:noWrap/>
            <w:vAlign w:val="center"/>
            <w:hideMark/>
          </w:tcPr>
          <w:p w14:paraId="31397B1A" w14:textId="77777777" w:rsidR="00F13889" w:rsidRPr="00CB5053" w:rsidRDefault="00F13889" w:rsidP="00F13889">
            <w:pPr>
              <w:rPr>
                <w:rFonts w:cs="Times New Roman"/>
                <w:color w:val="000000"/>
              </w:rPr>
            </w:pPr>
            <w:r w:rsidRPr="00CB5053">
              <w:rPr>
                <w:rFonts w:cs="Times New Roman"/>
                <w:color w:val="000000"/>
              </w:rPr>
              <w:t>Finanszírozási kiadások</w:t>
            </w:r>
          </w:p>
        </w:tc>
        <w:tc>
          <w:tcPr>
            <w:tcW w:w="1842" w:type="dxa"/>
            <w:tcBorders>
              <w:top w:val="nil"/>
              <w:left w:val="nil"/>
              <w:bottom w:val="single" w:sz="4" w:space="0" w:color="808080"/>
              <w:right w:val="single" w:sz="4" w:space="0" w:color="808080"/>
            </w:tcBorders>
            <w:shd w:val="clear" w:color="auto" w:fill="auto"/>
            <w:noWrap/>
            <w:vAlign w:val="center"/>
          </w:tcPr>
          <w:p w14:paraId="053466DF" w14:textId="1E22C07D" w:rsidR="00F13889" w:rsidRPr="00CB5053" w:rsidRDefault="00F13889" w:rsidP="00F13889">
            <w:pPr>
              <w:jc w:val="right"/>
              <w:rPr>
                <w:rFonts w:cs="Times New Roman"/>
                <w:color w:val="000000"/>
              </w:rPr>
            </w:pPr>
            <w:r w:rsidRPr="00CB5053">
              <w:rPr>
                <w:rFonts w:cs="Times New Roman"/>
                <w:color w:val="000000"/>
              </w:rPr>
              <w:t>0 Ft</w:t>
            </w:r>
          </w:p>
        </w:tc>
      </w:tr>
      <w:tr w:rsidR="00F13889" w:rsidRPr="00CB5053" w14:paraId="2673CE16" w14:textId="77777777" w:rsidTr="00D957A6">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31A71604" w14:textId="77777777" w:rsidR="00F13889" w:rsidRPr="00CB5053" w:rsidRDefault="00F13889" w:rsidP="00F13889">
            <w:pPr>
              <w:jc w:val="center"/>
              <w:rPr>
                <w:rFonts w:cs="Times New Roman"/>
                <w:color w:val="000000"/>
              </w:rPr>
            </w:pPr>
            <w:r w:rsidRPr="00CB5053">
              <w:rPr>
                <w:rFonts w:cs="Times New Roman"/>
                <w:color w:val="000000"/>
              </w:rPr>
              <w:t>11</w:t>
            </w:r>
          </w:p>
        </w:tc>
        <w:tc>
          <w:tcPr>
            <w:tcW w:w="891" w:type="dxa"/>
            <w:tcBorders>
              <w:top w:val="nil"/>
              <w:left w:val="nil"/>
              <w:bottom w:val="single" w:sz="4" w:space="0" w:color="808080"/>
              <w:right w:val="single" w:sz="4" w:space="0" w:color="808080"/>
            </w:tcBorders>
            <w:shd w:val="clear" w:color="auto" w:fill="auto"/>
            <w:noWrap/>
            <w:vAlign w:val="center"/>
            <w:hideMark/>
          </w:tcPr>
          <w:p w14:paraId="720466F3" w14:textId="77777777" w:rsidR="00F13889" w:rsidRPr="00CB5053" w:rsidRDefault="00F13889" w:rsidP="00F13889">
            <w:pPr>
              <w:jc w:val="center"/>
              <w:rPr>
                <w:rFonts w:cs="Times New Roman"/>
                <w:b/>
                <w:bCs/>
                <w:color w:val="000000"/>
              </w:rPr>
            </w:pPr>
            <w:r w:rsidRPr="00CB5053">
              <w:rPr>
                <w:rFonts w:cs="Times New Roman"/>
                <w:b/>
                <w:bCs/>
                <w:color w:val="000000"/>
              </w:rPr>
              <w:t> </w:t>
            </w:r>
          </w:p>
        </w:tc>
        <w:tc>
          <w:tcPr>
            <w:tcW w:w="5954" w:type="dxa"/>
            <w:tcBorders>
              <w:top w:val="nil"/>
              <w:left w:val="nil"/>
              <w:bottom w:val="single" w:sz="4" w:space="0" w:color="808080"/>
              <w:right w:val="single" w:sz="4" w:space="0" w:color="808080"/>
            </w:tcBorders>
            <w:shd w:val="clear" w:color="auto" w:fill="auto"/>
            <w:noWrap/>
            <w:vAlign w:val="center"/>
            <w:hideMark/>
          </w:tcPr>
          <w:p w14:paraId="2DEE6DC4" w14:textId="77777777" w:rsidR="00F13889" w:rsidRPr="00CB5053" w:rsidRDefault="00F13889" w:rsidP="00F13889">
            <w:pPr>
              <w:rPr>
                <w:rFonts w:cs="Times New Roman"/>
                <w:b/>
                <w:bCs/>
                <w:color w:val="000000"/>
              </w:rPr>
            </w:pPr>
            <w:r w:rsidRPr="00CB5053">
              <w:rPr>
                <w:rFonts w:cs="Times New Roman"/>
                <w:b/>
                <w:bCs/>
                <w:color w:val="000000"/>
              </w:rPr>
              <w:t>Összesen</w:t>
            </w:r>
          </w:p>
        </w:tc>
        <w:tc>
          <w:tcPr>
            <w:tcW w:w="1842" w:type="dxa"/>
            <w:tcBorders>
              <w:top w:val="nil"/>
              <w:left w:val="nil"/>
              <w:bottom w:val="single" w:sz="4" w:space="0" w:color="808080"/>
              <w:right w:val="single" w:sz="4" w:space="0" w:color="808080"/>
            </w:tcBorders>
            <w:shd w:val="clear" w:color="auto" w:fill="auto"/>
            <w:noWrap/>
            <w:vAlign w:val="center"/>
          </w:tcPr>
          <w:p w14:paraId="2EF5CADA" w14:textId="5655812A" w:rsidR="00F13889" w:rsidRPr="00CB5053" w:rsidRDefault="00D3542C" w:rsidP="00D3542C">
            <w:pPr>
              <w:jc w:val="right"/>
              <w:rPr>
                <w:rFonts w:cs="Times New Roman"/>
                <w:b/>
                <w:bCs/>
                <w:color w:val="000000"/>
              </w:rPr>
            </w:pPr>
            <w:r>
              <w:rPr>
                <w:rFonts w:cs="Times New Roman"/>
                <w:b/>
                <w:bCs/>
                <w:color w:val="000000"/>
              </w:rPr>
              <w:t xml:space="preserve">643.617.129 </w:t>
            </w:r>
            <w:r w:rsidR="00F13889" w:rsidRPr="00CB5053">
              <w:rPr>
                <w:rFonts w:cs="Times New Roman"/>
                <w:b/>
                <w:bCs/>
                <w:color w:val="000000"/>
              </w:rPr>
              <w:t>Ft</w:t>
            </w:r>
          </w:p>
        </w:tc>
      </w:tr>
    </w:tbl>
    <w:p w14:paraId="43B5E102" w14:textId="758194FB" w:rsidR="00673BB8" w:rsidRPr="00CB5053" w:rsidRDefault="00673BB8" w:rsidP="00673BB8">
      <w:pPr>
        <w:tabs>
          <w:tab w:val="center" w:pos="6804"/>
        </w:tabs>
        <w:jc w:val="both"/>
        <w:rPr>
          <w:rFonts w:cs="Times New Roman"/>
        </w:rPr>
      </w:pPr>
    </w:p>
    <w:p w14:paraId="31167342" w14:textId="77777777" w:rsidR="00673BB8" w:rsidRPr="00CB5053" w:rsidRDefault="00673BB8" w:rsidP="00673BB8">
      <w:pPr>
        <w:jc w:val="both"/>
        <w:rPr>
          <w:rFonts w:cs="Times New Roman"/>
          <w:i/>
          <w:iCs/>
        </w:rPr>
      </w:pPr>
      <w:r w:rsidRPr="00CB5053">
        <w:rPr>
          <w:rFonts w:cs="Times New Roman"/>
          <w:i/>
          <w:iCs/>
        </w:rPr>
        <w:t>2. A jogszabályi háttér</w:t>
      </w:r>
    </w:p>
    <w:p w14:paraId="4550662B" w14:textId="77777777" w:rsidR="00673BB8" w:rsidRPr="00CB5053" w:rsidRDefault="00673BB8" w:rsidP="00673BB8">
      <w:pPr>
        <w:jc w:val="both"/>
        <w:rPr>
          <w:rFonts w:cs="Times New Roman"/>
        </w:rPr>
      </w:pPr>
    </w:p>
    <w:p w14:paraId="386C6C7E" w14:textId="1A83EBD2" w:rsidR="00673BB8" w:rsidRPr="00CB5053" w:rsidRDefault="00673BB8" w:rsidP="00673BB8">
      <w:pPr>
        <w:jc w:val="both"/>
        <w:rPr>
          <w:rFonts w:cs="Times New Roman"/>
        </w:rPr>
      </w:pPr>
      <w:r w:rsidRPr="00CB5053">
        <w:rPr>
          <w:rFonts w:cs="Times New Roman"/>
        </w:rPr>
        <w:t xml:space="preserve">Az Országgyűlés elfogadta </w:t>
      </w:r>
      <w:r w:rsidRPr="00CB5053">
        <w:rPr>
          <w:rFonts w:cs="Times New Roman"/>
          <w:u w:val="single"/>
        </w:rPr>
        <w:t>Magyarország 2025. évi központi költségvetéséről szóló 2024. évi XC. törvényt</w:t>
      </w:r>
      <w:r w:rsidRPr="00CB5053">
        <w:rPr>
          <w:rFonts w:cs="Times New Roman"/>
        </w:rPr>
        <w:t xml:space="preserve">. A törvény alapján megterveztük </w:t>
      </w:r>
      <w:r w:rsidR="00F13889" w:rsidRPr="00CB5053">
        <w:rPr>
          <w:rFonts w:cs="Times New Roman"/>
        </w:rPr>
        <w:t>Zebegény</w:t>
      </w:r>
      <w:r w:rsidRPr="00CB5053">
        <w:rPr>
          <w:rFonts w:cs="Times New Roman"/>
        </w:rPr>
        <w:t xml:space="preserve"> Község Önkormányzata feladataihoz igénybe vehető központi forrásokat, a költségvetés készítése során alkalmaztuk a központi jogszabályokban és a helyi önkormányzati rendeletekben meghatározott előírásokat.</w:t>
      </w:r>
    </w:p>
    <w:p w14:paraId="328AF4B1" w14:textId="77777777" w:rsidR="00673BB8" w:rsidRPr="00CB5053" w:rsidRDefault="00673BB8" w:rsidP="00673BB8">
      <w:pPr>
        <w:jc w:val="both"/>
        <w:rPr>
          <w:rFonts w:cs="Times New Roman"/>
        </w:rPr>
      </w:pPr>
    </w:p>
    <w:p w14:paraId="17D9F8C1" w14:textId="77777777" w:rsidR="00673BB8" w:rsidRPr="00CB5053" w:rsidRDefault="00673BB8" w:rsidP="00673BB8">
      <w:pPr>
        <w:jc w:val="both"/>
        <w:rPr>
          <w:rFonts w:cs="Times New Roman"/>
        </w:rPr>
      </w:pPr>
      <w:r w:rsidRPr="00CB5053">
        <w:rPr>
          <w:rFonts w:cs="Times New Roman"/>
        </w:rPr>
        <w:t>Az állam által biztosított támogatási formákon túl az emberek szociális támogatással való ellátása az önkormányzatok feladata, mivel a helyi közösségek rendelkeznek leginkább azzal a tudással, amely alapján dönthetnek a jogosultság tekintetében. Az önkormányzatok szabadabban dönthetnek a támogatások nagyságáról és formájáról. Az új támogatási rendszerben senki sem maradhat ellátás nélkül, ugyanis a megfelelő forrással nem rendelkező önkormányzatok központi költségvetési forráshoz jutnak. Az állam és az önkormányzat segélyezéssel kapcsolatos feladatai élesen elválasztásra kerültek. Az állami felelősségi körbe tartozó ellátások járási kormányhivatali hatáskörben, az önkormányzati ellátások képviselő-testületi hatáskörben találhatóak. 2025-ben is jelentős célkitűzés tehát a segélyezettek újbóli integrálása a munka világába.</w:t>
      </w:r>
    </w:p>
    <w:p w14:paraId="2028BE69" w14:textId="77777777" w:rsidR="00673BB8" w:rsidRPr="00CB5053" w:rsidRDefault="00673BB8" w:rsidP="00673BB8">
      <w:pPr>
        <w:jc w:val="both"/>
        <w:rPr>
          <w:rFonts w:cs="Times New Roman"/>
        </w:rPr>
      </w:pPr>
    </w:p>
    <w:p w14:paraId="561D81C2" w14:textId="77777777" w:rsidR="00673BB8" w:rsidRPr="00CB5053" w:rsidRDefault="00673BB8" w:rsidP="00673BB8">
      <w:pPr>
        <w:jc w:val="both"/>
        <w:rPr>
          <w:rFonts w:cs="Times New Roman"/>
        </w:rPr>
      </w:pPr>
      <w:r w:rsidRPr="00CB5053">
        <w:rPr>
          <w:rFonts w:cs="Times New Roman"/>
        </w:rPr>
        <w:t>A helyi önkormányzatok számára kötelező feladatot továbbra is törvény írhat elő, az önkormányzatok eltérő adottságait (gazdasági teljesítőképesség, lakosságszám, a közigazgatási terület mérete) is figyelembe véve.</w:t>
      </w:r>
    </w:p>
    <w:p w14:paraId="4507D17C" w14:textId="77777777" w:rsidR="00673BB8" w:rsidRPr="00CB5053" w:rsidRDefault="00673BB8" w:rsidP="00673BB8">
      <w:pPr>
        <w:jc w:val="both"/>
        <w:rPr>
          <w:rFonts w:cs="Times New Roman"/>
        </w:rPr>
      </w:pPr>
    </w:p>
    <w:p w14:paraId="57FC4C00" w14:textId="77777777" w:rsidR="00673BB8" w:rsidRPr="00CB5053" w:rsidRDefault="00673BB8" w:rsidP="00673BB8">
      <w:pPr>
        <w:jc w:val="both"/>
        <w:rPr>
          <w:rFonts w:cs="Times New Roman"/>
          <w:b/>
        </w:rPr>
      </w:pPr>
      <w:r w:rsidRPr="00CB5053">
        <w:rPr>
          <w:rFonts w:cs="Times New Roman"/>
          <w:b/>
        </w:rPr>
        <w:t xml:space="preserve">Az </w:t>
      </w:r>
      <w:proofErr w:type="spellStart"/>
      <w:r w:rsidRPr="00CB5053">
        <w:rPr>
          <w:rFonts w:cs="Times New Roman"/>
          <w:b/>
        </w:rPr>
        <w:t>Mötv</w:t>
      </w:r>
      <w:proofErr w:type="spellEnd"/>
      <w:r w:rsidRPr="00CB5053">
        <w:rPr>
          <w:rFonts w:cs="Times New Roman"/>
          <w:b/>
        </w:rPr>
        <w:t>. szerint a helyi közügyek, illetve a helyben biztosítható közfeladatok:</w:t>
      </w:r>
    </w:p>
    <w:p w14:paraId="04FC808F" w14:textId="77777777" w:rsidR="00673BB8" w:rsidRPr="00CB5053" w:rsidRDefault="00673BB8" w:rsidP="00673BB8">
      <w:pPr>
        <w:jc w:val="both"/>
        <w:rPr>
          <w:rFonts w:cs="Times New Roman"/>
        </w:rPr>
      </w:pPr>
    </w:p>
    <w:p w14:paraId="65DC9848"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településfejlesztés, településrendezés;</w:t>
      </w:r>
    </w:p>
    <w:p w14:paraId="5ACAF40C"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p>
    <w:p w14:paraId="37014DCC"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a közterületek, valamint az önkormányzat tulajdonában álló közintézmény elnevezése;</w:t>
      </w:r>
    </w:p>
    <w:p w14:paraId="481251FE"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egészségügyi alapellátás, az egészséges életmód segítését célzó szolgáltatások;</w:t>
      </w:r>
    </w:p>
    <w:p w14:paraId="01E050AC"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lastRenderedPageBreak/>
        <w:t>környezet-egészségügy (köztisztaság, települési környezet tisztaságának biztosítása, rovar- és rágcsálóirtás);</w:t>
      </w:r>
    </w:p>
    <w:p w14:paraId="15839055"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óvodai ellátás;</w:t>
      </w:r>
    </w:p>
    <w:p w14:paraId="7344C90C"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kulturális szolgáltatás, különösen a nyilvános könyvtári ellátás biztosítása; filmszínház, előadó-művészeti szervezet támogatása, a kulturális örökség helyi védelme; a helyi közművelődési tevékenység támogatása;</w:t>
      </w:r>
    </w:p>
    <w:p w14:paraId="30E1BCBC"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gyermekjóléti szolgáltatások és ellátások;</w:t>
      </w:r>
    </w:p>
    <w:p w14:paraId="5F123703"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szociális szolgáltatások és ellátások, amelyek keretében települési támogatás állapítható meg;</w:t>
      </w:r>
    </w:p>
    <w:p w14:paraId="58D54934"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lakás- és helyiséggazdálkodás;</w:t>
      </w:r>
    </w:p>
    <w:p w14:paraId="096624F0"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a területén hajléktalanná vált személyek ellátásának és rehabilitációjának, valamint a hajléktalanná válás megelőzésének biztosítása;</w:t>
      </w:r>
    </w:p>
    <w:p w14:paraId="2EA3C4E2"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helyi környezet- és természetvédelem, vízgazdálkodás, vízkárelhárítás;</w:t>
      </w:r>
    </w:p>
    <w:p w14:paraId="5BC4E6B2"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honvédelem, polgári védelem, katasztrófavédelem, helyi közfoglalkoztatás;</w:t>
      </w:r>
    </w:p>
    <w:p w14:paraId="2BD31747"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helyi adóval, gazdaságszervezéssel és a turizmussal kapcsolatos feladatok;</w:t>
      </w:r>
    </w:p>
    <w:p w14:paraId="5C30C5C0"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a kistermelők, őstermelők számára - jogszabályban meghatározott termékeik - értékesítési lehetőségeinek biztosítása, ideértve a hétvégi árusítás lehetőségét is;</w:t>
      </w:r>
    </w:p>
    <w:p w14:paraId="561F311D"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sport, ifjúsági ügyek;</w:t>
      </w:r>
    </w:p>
    <w:p w14:paraId="05AC01A0"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nemzetiségi ügyek;</w:t>
      </w:r>
    </w:p>
    <w:p w14:paraId="32C713AB"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közreműködés a település közbiztonságának biztosításában;</w:t>
      </w:r>
    </w:p>
    <w:p w14:paraId="1A4A57F9"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helyi közösségi közlekedés biztosítása;</w:t>
      </w:r>
    </w:p>
    <w:p w14:paraId="311D9E8F"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hulladékgazdálkodás;</w:t>
      </w:r>
    </w:p>
    <w:p w14:paraId="5858A924"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távhőszolgáltatás;</w:t>
      </w:r>
    </w:p>
    <w:p w14:paraId="5C5DB812" w14:textId="77777777" w:rsidR="00673BB8" w:rsidRPr="00CB5053" w:rsidRDefault="00673BB8" w:rsidP="00673BB8">
      <w:pPr>
        <w:widowControl/>
        <w:numPr>
          <w:ilvl w:val="0"/>
          <w:numId w:val="5"/>
        </w:numPr>
        <w:tabs>
          <w:tab w:val="left" w:pos="851"/>
        </w:tabs>
        <w:suppressAutoHyphens w:val="0"/>
        <w:ind w:left="851" w:hanging="567"/>
        <w:jc w:val="both"/>
        <w:rPr>
          <w:rFonts w:cs="Times New Roman"/>
        </w:rPr>
      </w:pPr>
      <w:r w:rsidRPr="00CB5053">
        <w:rPr>
          <w:rFonts w:cs="Times New Roman"/>
        </w:rPr>
        <w:t>víziközmű-szolgáltatás, amennyiben a víziközmű-szolgáltatásról szóló törvény rendelkezései szerint a helyi önkormányzat ellátásért felelősnek minősül.</w:t>
      </w:r>
    </w:p>
    <w:p w14:paraId="126B7D42" w14:textId="77777777" w:rsidR="00673BB8" w:rsidRPr="00CB5053" w:rsidRDefault="00673BB8" w:rsidP="00673BB8">
      <w:pPr>
        <w:jc w:val="both"/>
        <w:rPr>
          <w:rFonts w:cs="Times New Roman"/>
        </w:rPr>
      </w:pPr>
    </w:p>
    <w:p w14:paraId="40B103F9" w14:textId="77777777" w:rsidR="00673BB8" w:rsidRPr="00CB5053" w:rsidRDefault="00673BB8" w:rsidP="00673BB8">
      <w:pPr>
        <w:jc w:val="both"/>
        <w:rPr>
          <w:rFonts w:cs="Times New Roman"/>
          <w:b/>
        </w:rPr>
      </w:pPr>
      <w:r w:rsidRPr="00CB5053">
        <w:rPr>
          <w:rFonts w:cs="Times New Roman"/>
          <w:b/>
        </w:rPr>
        <w:t>További törvényi lehetőségek helyi önkormányzati feladat-telepítésre:</w:t>
      </w:r>
    </w:p>
    <w:p w14:paraId="61F24DBB" w14:textId="77777777" w:rsidR="00673BB8" w:rsidRPr="00CB5053" w:rsidRDefault="00673BB8" w:rsidP="00673BB8">
      <w:pPr>
        <w:jc w:val="both"/>
        <w:rPr>
          <w:rFonts w:cs="Times New Roman"/>
        </w:rPr>
      </w:pPr>
    </w:p>
    <w:p w14:paraId="279CFCD1" w14:textId="77777777" w:rsidR="00673BB8" w:rsidRPr="00CB5053" w:rsidRDefault="00673BB8" w:rsidP="00673BB8">
      <w:pPr>
        <w:widowControl/>
        <w:numPr>
          <w:ilvl w:val="0"/>
          <w:numId w:val="6"/>
        </w:numPr>
        <w:tabs>
          <w:tab w:val="left" w:pos="709"/>
        </w:tabs>
        <w:suppressAutoHyphens w:val="0"/>
        <w:jc w:val="both"/>
        <w:rPr>
          <w:rFonts w:cs="Times New Roman"/>
        </w:rPr>
      </w:pPr>
      <w:r w:rsidRPr="00CB5053">
        <w:rPr>
          <w:rFonts w:cs="Times New Roman"/>
        </w:rPr>
        <w:t xml:space="preserve">törvény a </w:t>
      </w:r>
      <w:proofErr w:type="spellStart"/>
      <w:r w:rsidRPr="00CB5053">
        <w:rPr>
          <w:rFonts w:cs="Times New Roman"/>
        </w:rPr>
        <w:t>felsoroltakon</w:t>
      </w:r>
      <w:proofErr w:type="spellEnd"/>
      <w:r w:rsidRPr="00CB5053">
        <w:rPr>
          <w:rFonts w:cs="Times New Roman"/>
        </w:rPr>
        <w:t xml:space="preserve"> kívül más, a helyi közügy, helyben biztosítható közfeladat ellátását is előírhatja,</w:t>
      </w:r>
    </w:p>
    <w:p w14:paraId="4C9B9765" w14:textId="77777777" w:rsidR="00673BB8" w:rsidRPr="00CB5053" w:rsidRDefault="00673BB8" w:rsidP="00673BB8">
      <w:pPr>
        <w:widowControl/>
        <w:numPr>
          <w:ilvl w:val="0"/>
          <w:numId w:val="6"/>
        </w:numPr>
        <w:tabs>
          <w:tab w:val="left" w:pos="709"/>
        </w:tabs>
        <w:suppressAutoHyphens w:val="0"/>
        <w:jc w:val="both"/>
        <w:rPr>
          <w:rFonts w:cs="Times New Roman"/>
        </w:rPr>
      </w:pPr>
      <w:r w:rsidRPr="00CB5053">
        <w:rPr>
          <w:rFonts w:cs="Times New Roman"/>
        </w:rPr>
        <w:t>törvényben meghatározott esetekben az önkormányzat és az állam külön, a finanszírozást is rendező megállapodása alapján az önkormányzat állami feladatokat is elláthat,</w:t>
      </w:r>
    </w:p>
    <w:p w14:paraId="080BE3BF" w14:textId="77777777" w:rsidR="00673BB8" w:rsidRPr="00CB5053" w:rsidRDefault="00673BB8" w:rsidP="00673BB8">
      <w:pPr>
        <w:widowControl/>
        <w:numPr>
          <w:ilvl w:val="0"/>
          <w:numId w:val="6"/>
        </w:numPr>
        <w:tabs>
          <w:tab w:val="left" w:pos="709"/>
        </w:tabs>
        <w:suppressAutoHyphens w:val="0"/>
        <w:jc w:val="both"/>
        <w:rPr>
          <w:rFonts w:cs="Times New Roman"/>
        </w:rPr>
      </w:pPr>
      <w:r w:rsidRPr="00CB5053">
        <w:rPr>
          <w:rFonts w:cs="Times New Roman"/>
        </w:rPr>
        <w:t>a helyi önkormányzatok továbbra is önként vállalhatják olyan helyi közügyek ellátását, amelyet jogszabály nem utal más szerv kizárólagos hatáskörébe. Az önként vállalt feladatok ellátása azonban nem veszélyeztetheti a kötelező feladatok ellátását. Finanszírozásuk forrását elsősorban az önkormányzat saját bevételei, illetve az erre a célra biztosított külön források képezhetik.</w:t>
      </w:r>
    </w:p>
    <w:p w14:paraId="4B2CD8FF" w14:textId="77777777" w:rsidR="00673BB8" w:rsidRPr="00CB5053" w:rsidRDefault="00673BB8" w:rsidP="00673BB8">
      <w:pPr>
        <w:jc w:val="both"/>
        <w:rPr>
          <w:rFonts w:cs="Times New Roman"/>
        </w:rPr>
      </w:pPr>
    </w:p>
    <w:p w14:paraId="128D9AD6" w14:textId="77777777" w:rsidR="00673BB8" w:rsidRPr="00CB5053" w:rsidRDefault="00673BB8" w:rsidP="00673BB8">
      <w:pPr>
        <w:jc w:val="both"/>
        <w:rPr>
          <w:rFonts w:cs="Times New Roman"/>
        </w:rPr>
      </w:pPr>
      <w:r w:rsidRPr="00CB5053">
        <w:rPr>
          <w:rFonts w:cs="Times New Roman"/>
        </w:rPr>
        <w:t xml:space="preserve">A pénzügyi terv összhangban van az önkormányzat gazdasági programjával és 2025. évi költségvetési koncepciójával, melyben megfogalmazott alapelvek az önkormányzat legfontosabb céljait hűen tükrözik. </w:t>
      </w:r>
    </w:p>
    <w:p w14:paraId="5D79C24E" w14:textId="77777777" w:rsidR="00673BB8" w:rsidRPr="00CB5053" w:rsidRDefault="00673BB8" w:rsidP="00673BB8">
      <w:pPr>
        <w:jc w:val="both"/>
        <w:rPr>
          <w:rFonts w:cs="Times New Roman"/>
        </w:rPr>
      </w:pPr>
    </w:p>
    <w:p w14:paraId="23201DE1" w14:textId="77777777" w:rsidR="00673BB8" w:rsidRPr="00CB5053" w:rsidRDefault="00673BB8" w:rsidP="00673BB8">
      <w:pPr>
        <w:jc w:val="both"/>
        <w:rPr>
          <w:rFonts w:cs="Times New Roman"/>
        </w:rPr>
      </w:pPr>
      <w:r w:rsidRPr="00CB5053">
        <w:rPr>
          <w:rFonts w:cs="Times New Roman"/>
        </w:rPr>
        <w:t>A 2025. évre megfogalmazott költségvetési alapelvek a következők:</w:t>
      </w:r>
    </w:p>
    <w:p w14:paraId="2226F7AA" w14:textId="2A44DEA6" w:rsidR="00673BB8" w:rsidRPr="00CB5053" w:rsidRDefault="007006E4" w:rsidP="00673BB8">
      <w:pPr>
        <w:widowControl/>
        <w:numPr>
          <w:ilvl w:val="0"/>
          <w:numId w:val="7"/>
        </w:numPr>
        <w:suppressAutoHyphens w:val="0"/>
        <w:jc w:val="both"/>
        <w:rPr>
          <w:rFonts w:cs="Times New Roman"/>
        </w:rPr>
      </w:pPr>
      <w:r w:rsidRPr="00CB5053">
        <w:rPr>
          <w:rFonts w:cs="Times New Roman"/>
        </w:rPr>
        <w:t>Zebegény</w:t>
      </w:r>
      <w:r w:rsidR="00673BB8" w:rsidRPr="00CB5053">
        <w:rPr>
          <w:rFonts w:cs="Times New Roman"/>
        </w:rPr>
        <w:t xml:space="preserve"> Község Önkormányzatának pénzügyi stabilitása;</w:t>
      </w:r>
    </w:p>
    <w:p w14:paraId="4BF7EDB4" w14:textId="77777777" w:rsidR="00673BB8" w:rsidRPr="00CB5053" w:rsidRDefault="00673BB8" w:rsidP="00673BB8">
      <w:pPr>
        <w:widowControl/>
        <w:numPr>
          <w:ilvl w:val="0"/>
          <w:numId w:val="7"/>
        </w:numPr>
        <w:suppressAutoHyphens w:val="0"/>
        <w:jc w:val="both"/>
        <w:rPr>
          <w:rFonts w:cs="Times New Roman"/>
        </w:rPr>
      </w:pPr>
      <w:r w:rsidRPr="00CB5053">
        <w:rPr>
          <w:rFonts w:cs="Times New Roman"/>
        </w:rPr>
        <w:t>takarékos működés;</w:t>
      </w:r>
    </w:p>
    <w:p w14:paraId="0166EE08" w14:textId="77777777" w:rsidR="00673BB8" w:rsidRPr="00CB5053" w:rsidRDefault="00673BB8" w:rsidP="00673BB8">
      <w:pPr>
        <w:widowControl/>
        <w:numPr>
          <w:ilvl w:val="0"/>
          <w:numId w:val="7"/>
        </w:numPr>
        <w:suppressAutoHyphens w:val="0"/>
        <w:jc w:val="both"/>
        <w:rPr>
          <w:rFonts w:cs="Times New Roman"/>
        </w:rPr>
      </w:pPr>
      <w:r w:rsidRPr="00CB5053">
        <w:rPr>
          <w:rFonts w:cs="Times New Roman"/>
        </w:rPr>
        <w:t>pályázati tevékenység folytatása, beruházások és felújítások megvalósítása;</w:t>
      </w:r>
    </w:p>
    <w:p w14:paraId="64C66200" w14:textId="77777777" w:rsidR="00673BB8" w:rsidRPr="00CB5053" w:rsidRDefault="00673BB8" w:rsidP="00673BB8">
      <w:pPr>
        <w:widowControl/>
        <w:numPr>
          <w:ilvl w:val="0"/>
          <w:numId w:val="7"/>
        </w:numPr>
        <w:suppressAutoHyphens w:val="0"/>
        <w:jc w:val="both"/>
        <w:rPr>
          <w:rFonts w:cs="Times New Roman"/>
        </w:rPr>
      </w:pPr>
      <w:r w:rsidRPr="00CB5053">
        <w:rPr>
          <w:rFonts w:cs="Times New Roman"/>
        </w:rPr>
        <w:t>a vállalkozások gazdasági lehetőségeinek bővítése;</w:t>
      </w:r>
    </w:p>
    <w:p w14:paraId="29AA8394" w14:textId="77777777" w:rsidR="00673BB8" w:rsidRPr="00CB5053" w:rsidRDefault="00673BB8" w:rsidP="00673BB8">
      <w:pPr>
        <w:widowControl/>
        <w:numPr>
          <w:ilvl w:val="0"/>
          <w:numId w:val="7"/>
        </w:numPr>
        <w:suppressAutoHyphens w:val="0"/>
        <w:jc w:val="both"/>
        <w:rPr>
          <w:rFonts w:cs="Times New Roman"/>
        </w:rPr>
      </w:pPr>
      <w:r w:rsidRPr="00CB5053">
        <w:rPr>
          <w:rFonts w:cs="Times New Roman"/>
        </w:rPr>
        <w:t xml:space="preserve">az </w:t>
      </w:r>
      <w:r w:rsidRPr="00CB5053">
        <w:rPr>
          <w:rFonts w:cs="Times New Roman"/>
          <w:iCs/>
          <w:u w:val="single"/>
        </w:rPr>
        <w:t>államháztartásról szóló 2011. évi CXCV. törvény 13. § (1) bekezdésében</w:t>
      </w:r>
      <w:r w:rsidRPr="00CB5053">
        <w:rPr>
          <w:rFonts w:cs="Times New Roman"/>
        </w:rPr>
        <w:t xml:space="preserve"> meghatározott Kormány döntések figyelembevétele a tervezési munkálatok során.</w:t>
      </w:r>
    </w:p>
    <w:p w14:paraId="0D868116" w14:textId="77777777" w:rsidR="00673BB8" w:rsidRPr="00CB5053" w:rsidRDefault="00673BB8" w:rsidP="00673BB8">
      <w:pPr>
        <w:jc w:val="both"/>
        <w:rPr>
          <w:rFonts w:cs="Times New Roman"/>
        </w:rPr>
      </w:pPr>
    </w:p>
    <w:p w14:paraId="7C12E4EE" w14:textId="77777777" w:rsidR="00673BB8" w:rsidRPr="00CB5053" w:rsidRDefault="00673BB8" w:rsidP="00673BB8">
      <w:pPr>
        <w:tabs>
          <w:tab w:val="center" w:pos="6804"/>
        </w:tabs>
        <w:rPr>
          <w:rFonts w:cs="Times New Roman"/>
          <w:i/>
          <w:iCs/>
        </w:rPr>
      </w:pPr>
      <w:r w:rsidRPr="00CB5053">
        <w:rPr>
          <w:rFonts w:cs="Times New Roman"/>
          <w:i/>
          <w:iCs/>
        </w:rPr>
        <w:lastRenderedPageBreak/>
        <w:t>3. Az önkormányzat bevételi előirányzatainak elemzése</w:t>
      </w:r>
    </w:p>
    <w:p w14:paraId="7BE58AA6" w14:textId="77777777" w:rsidR="00673BB8" w:rsidRPr="00CB5053" w:rsidRDefault="00673BB8" w:rsidP="00673BB8">
      <w:pPr>
        <w:tabs>
          <w:tab w:val="center" w:pos="6804"/>
        </w:tabs>
        <w:rPr>
          <w:rFonts w:cs="Times New Roman"/>
        </w:rPr>
      </w:pPr>
    </w:p>
    <w:p w14:paraId="3004FCD0" w14:textId="47BD299C" w:rsidR="00673BB8" w:rsidRPr="00CB5053" w:rsidRDefault="00673BB8" w:rsidP="00673BB8">
      <w:pPr>
        <w:jc w:val="both"/>
        <w:rPr>
          <w:rFonts w:cs="Times New Roman"/>
        </w:rPr>
      </w:pPr>
      <w:r w:rsidRPr="00CB5053">
        <w:rPr>
          <w:rFonts w:cs="Times New Roman"/>
        </w:rPr>
        <w:t xml:space="preserve">A 2025. évi költségvetési bevételek tervezett előirányzata </w:t>
      </w:r>
      <w:r w:rsidR="00D3542C">
        <w:rPr>
          <w:rFonts w:cs="Times New Roman"/>
        </w:rPr>
        <w:t>600.971.120</w:t>
      </w:r>
      <w:r w:rsidRPr="00CB5053">
        <w:rPr>
          <w:rFonts w:cs="Times New Roman"/>
        </w:rPr>
        <w:t xml:space="preserve"> Ft, melyet a </w:t>
      </w:r>
      <w:proofErr w:type="spellStart"/>
      <w:r w:rsidRPr="00CB5053">
        <w:rPr>
          <w:rFonts w:cs="Times New Roman"/>
        </w:rPr>
        <w:t>finanszírozású</w:t>
      </w:r>
      <w:proofErr w:type="spellEnd"/>
      <w:r w:rsidRPr="00CB5053">
        <w:rPr>
          <w:rFonts w:cs="Times New Roman"/>
        </w:rPr>
        <w:t xml:space="preserve"> pénzügyi műveletekből származó bevétel </w:t>
      </w:r>
      <w:r w:rsidR="007006E4" w:rsidRPr="00CB5053">
        <w:rPr>
          <w:rFonts w:cs="Times New Roman"/>
        </w:rPr>
        <w:t>42.646.009</w:t>
      </w:r>
      <w:r w:rsidRPr="00CB5053">
        <w:rPr>
          <w:rFonts w:cs="Times New Roman"/>
        </w:rPr>
        <w:t xml:space="preserve"> Ft-tal egészít ki, így összesen </w:t>
      </w:r>
      <w:r w:rsidR="00D3542C">
        <w:rPr>
          <w:rFonts w:cs="Times New Roman"/>
        </w:rPr>
        <w:t>643.617.129</w:t>
      </w:r>
      <w:r w:rsidRPr="00CB5053">
        <w:rPr>
          <w:rFonts w:cs="Times New Roman"/>
        </w:rPr>
        <w:t xml:space="preserve"> Ft forrás fog rendelkezésre állni. </w:t>
      </w:r>
    </w:p>
    <w:p w14:paraId="4A6390CD" w14:textId="77777777" w:rsidR="00673BB8" w:rsidRPr="00CB5053" w:rsidRDefault="00673BB8" w:rsidP="00673BB8">
      <w:pPr>
        <w:jc w:val="both"/>
        <w:rPr>
          <w:rFonts w:cs="Times New Roman"/>
        </w:rPr>
      </w:pPr>
    </w:p>
    <w:p w14:paraId="68B6EF1F" w14:textId="4C28EF0C" w:rsidR="00673BB8" w:rsidRPr="00CB5053" w:rsidRDefault="00673BB8" w:rsidP="00673BB8">
      <w:pPr>
        <w:jc w:val="both"/>
        <w:rPr>
          <w:rFonts w:cs="Times New Roman"/>
          <w:b/>
          <w:bCs/>
        </w:rPr>
      </w:pPr>
      <w:r w:rsidRPr="00CB5053">
        <w:rPr>
          <w:rFonts w:cs="Times New Roman"/>
        </w:rPr>
        <w:t xml:space="preserve">A </w:t>
      </w:r>
      <w:r w:rsidRPr="00CB5053">
        <w:rPr>
          <w:rFonts w:cs="Times New Roman"/>
          <w:u w:val="single"/>
        </w:rPr>
        <w:t xml:space="preserve">helyi adókról szóló 1990. évi C. törvény (továbbiakban: </w:t>
      </w:r>
      <w:proofErr w:type="spellStart"/>
      <w:r w:rsidRPr="00CB5053">
        <w:rPr>
          <w:rFonts w:cs="Times New Roman"/>
          <w:u w:val="single"/>
        </w:rPr>
        <w:t>Htv</w:t>
      </w:r>
      <w:proofErr w:type="spellEnd"/>
      <w:r w:rsidRPr="00CB5053">
        <w:rPr>
          <w:rFonts w:cs="Times New Roman"/>
          <w:u w:val="single"/>
        </w:rPr>
        <w:t>.) 6. §</w:t>
      </w:r>
      <w:r w:rsidRPr="00CB5053">
        <w:rPr>
          <w:rFonts w:cs="Times New Roman"/>
        </w:rPr>
        <w:t xml:space="preserve"> rendelkezése alapján az Önkormányzat adómegállapítási joga kiterjed arra, hogy a helyi adó mértékét a </w:t>
      </w:r>
      <w:r w:rsidRPr="00CB5053">
        <w:rPr>
          <w:rFonts w:cs="Times New Roman"/>
          <w:b/>
        </w:rPr>
        <w:t>helyi sajátosságokhoz,</w:t>
      </w:r>
      <w:r w:rsidRPr="00CB5053">
        <w:rPr>
          <w:rFonts w:cs="Times New Roman"/>
        </w:rPr>
        <w:t xml:space="preserve"> az önkormányzat </w:t>
      </w:r>
      <w:r w:rsidRPr="00CB5053">
        <w:rPr>
          <w:rFonts w:cs="Times New Roman"/>
          <w:b/>
        </w:rPr>
        <w:t>gazdálkodási követelményeihez</w:t>
      </w:r>
      <w:r w:rsidRPr="00CB5053">
        <w:rPr>
          <w:rFonts w:cs="Times New Roman"/>
        </w:rPr>
        <w:t xml:space="preserve"> és az </w:t>
      </w:r>
      <w:r w:rsidRPr="00CB5053">
        <w:rPr>
          <w:rFonts w:cs="Times New Roman"/>
          <w:b/>
        </w:rPr>
        <w:t>adóalanyok teherviselő képességeihez igazodóan</w:t>
      </w:r>
      <w:r w:rsidRPr="00CB5053">
        <w:rPr>
          <w:rFonts w:cs="Times New Roman"/>
        </w:rPr>
        <w:t xml:space="preserve"> – a törvényben meghatározott </w:t>
      </w:r>
      <w:r w:rsidRPr="00CB5053">
        <w:rPr>
          <w:rFonts w:cs="Times New Roman"/>
          <w:b/>
        </w:rPr>
        <w:t>felső (adómaximum) határokra figyelemmel</w:t>
      </w:r>
      <w:r w:rsidRPr="00CB5053">
        <w:rPr>
          <w:rFonts w:cs="Times New Roman"/>
        </w:rPr>
        <w:t xml:space="preserve"> – megállapítsa. 2025. évben az adómértékekben – az</w:t>
      </w:r>
      <w:r w:rsidR="00B14743">
        <w:rPr>
          <w:rFonts w:cs="Times New Roman"/>
        </w:rPr>
        <w:t xml:space="preserve"> üdülő-hétvégi ház és gépjármű tárolók építményadója, valamint az</w:t>
      </w:r>
      <w:r w:rsidRPr="00CB5053">
        <w:rPr>
          <w:rFonts w:cs="Times New Roman"/>
        </w:rPr>
        <w:t xml:space="preserve"> idegenforgalmi adó kivételével – </w:t>
      </w:r>
      <w:r w:rsidRPr="00B14743">
        <w:rPr>
          <w:rFonts w:cs="Times New Roman"/>
        </w:rPr>
        <w:t>az előző évihez képest nincs változás</w:t>
      </w:r>
      <w:r w:rsidRPr="00CB5053">
        <w:rPr>
          <w:rFonts w:cs="Times New Roman"/>
        </w:rPr>
        <w:t>. A helyi adóbevételek ennek megfelelően kerültek tervezésre.</w:t>
      </w:r>
    </w:p>
    <w:p w14:paraId="4D00729F" w14:textId="77777777" w:rsidR="00673BB8" w:rsidRPr="00CB5053" w:rsidRDefault="00673BB8" w:rsidP="00673BB8">
      <w:pPr>
        <w:jc w:val="both"/>
        <w:rPr>
          <w:rFonts w:cs="Times New Roman"/>
        </w:rPr>
      </w:pPr>
    </w:p>
    <w:p w14:paraId="253A08FE" w14:textId="367A950E" w:rsidR="00673BB8" w:rsidRPr="00CB5053" w:rsidRDefault="00673BB8" w:rsidP="00673BB8">
      <w:pPr>
        <w:jc w:val="both"/>
        <w:rPr>
          <w:rFonts w:cs="Times New Roman"/>
        </w:rPr>
      </w:pPr>
      <w:r w:rsidRPr="00CB5053">
        <w:rPr>
          <w:rFonts w:cs="Times New Roman"/>
          <w:b/>
        </w:rPr>
        <w:t>2025. évben – a feladatfinanszírozás keretében – az általános működéshez és ágazati feladatokhoz kapcsolódó támogatásokból származó bevétel csak a kötelezően ellátandó működési feladatokra fordítható.</w:t>
      </w:r>
      <w:r w:rsidRPr="00CB5053">
        <w:rPr>
          <w:rFonts w:cs="Times New Roman"/>
        </w:rPr>
        <w:t xml:space="preserve"> A tervezetben működési bevétellel </w:t>
      </w:r>
      <w:r w:rsidR="009203F0" w:rsidRPr="00CB5053">
        <w:rPr>
          <w:rFonts w:cs="Times New Roman"/>
        </w:rPr>
        <w:t>64.125.943</w:t>
      </w:r>
      <w:r w:rsidRPr="00CB5053">
        <w:rPr>
          <w:rFonts w:cs="Times New Roman"/>
        </w:rPr>
        <w:t xml:space="preserve"> Ft összegben számoltunk, ami a bérleti díjbevételekből, ellátási díjakból, közvetített szolgáltatásokból tevődik össze.</w:t>
      </w:r>
    </w:p>
    <w:p w14:paraId="3E77B9D6" w14:textId="77777777" w:rsidR="00673BB8" w:rsidRPr="00CB5053" w:rsidRDefault="00673BB8" w:rsidP="00673BB8">
      <w:pPr>
        <w:jc w:val="both"/>
        <w:rPr>
          <w:rFonts w:cs="Times New Roman"/>
        </w:rPr>
      </w:pPr>
    </w:p>
    <w:p w14:paraId="12211E1D" w14:textId="15355D08" w:rsidR="00673BB8" w:rsidRPr="00CB5053" w:rsidRDefault="00673BB8" w:rsidP="00673BB8">
      <w:pPr>
        <w:jc w:val="both"/>
        <w:rPr>
          <w:rFonts w:cs="Times New Roman"/>
        </w:rPr>
      </w:pPr>
      <w:r w:rsidRPr="00CB5053">
        <w:rPr>
          <w:rFonts w:cs="Times New Roman"/>
        </w:rPr>
        <w:t xml:space="preserve">A megjelenő pályázati lehetőségeket folyamatosan vizsgálni szükséges, mert rendkívül fontos az önkormányzat költségvetésének külső forrásokkal való bővítése. Figyelembe véve a </w:t>
      </w:r>
      <w:r w:rsidRPr="00CB5053">
        <w:rPr>
          <w:rFonts w:cs="Times New Roman"/>
          <w:u w:val="single"/>
        </w:rPr>
        <w:t>Magyarország gazdasági stabilitásáról szóló 2011. évi CXCIV. törvény</w:t>
      </w:r>
      <w:r w:rsidRPr="00CB5053">
        <w:rPr>
          <w:rFonts w:cs="Times New Roman"/>
        </w:rPr>
        <w:t xml:space="preserve"> előírásait – </w:t>
      </w:r>
      <w:r w:rsidR="009203F0" w:rsidRPr="00CB5053">
        <w:rPr>
          <w:rFonts w:cs="Times New Roman"/>
          <w:b/>
        </w:rPr>
        <w:t>0</w:t>
      </w:r>
      <w:r w:rsidRPr="00CB5053">
        <w:rPr>
          <w:rFonts w:cs="Times New Roman"/>
          <w:b/>
        </w:rPr>
        <w:t xml:space="preserve"> Ft hitel felvétellel számoltunk.</w:t>
      </w:r>
    </w:p>
    <w:p w14:paraId="1B8CEA12" w14:textId="77777777" w:rsidR="00673BB8" w:rsidRPr="00CB5053" w:rsidRDefault="00673BB8" w:rsidP="00673BB8">
      <w:pPr>
        <w:tabs>
          <w:tab w:val="center" w:pos="6804"/>
        </w:tabs>
        <w:rPr>
          <w:rFonts w:cs="Times New Roman"/>
        </w:rPr>
      </w:pPr>
    </w:p>
    <w:p w14:paraId="07FC7C79" w14:textId="77777777" w:rsidR="00673BB8" w:rsidRPr="00CB5053" w:rsidRDefault="00673BB8" w:rsidP="00673BB8">
      <w:pPr>
        <w:tabs>
          <w:tab w:val="center" w:pos="6804"/>
        </w:tabs>
        <w:jc w:val="center"/>
        <w:rPr>
          <w:rFonts w:cs="Times New Roman"/>
          <w:b/>
          <w:bCs/>
        </w:rPr>
      </w:pPr>
      <w:r w:rsidRPr="00CB5053">
        <w:rPr>
          <w:rFonts w:cs="Times New Roman"/>
          <w:b/>
          <w:bCs/>
        </w:rPr>
        <w:br w:type="page"/>
      </w:r>
    </w:p>
    <w:p w14:paraId="7C3FEFD1" w14:textId="77777777" w:rsidR="00673BB8" w:rsidRPr="00CB5053" w:rsidRDefault="00673BB8" w:rsidP="00673BB8">
      <w:pPr>
        <w:tabs>
          <w:tab w:val="center" w:pos="6804"/>
        </w:tabs>
        <w:jc w:val="center"/>
        <w:rPr>
          <w:rFonts w:cs="Times New Roman"/>
          <w:b/>
          <w:bCs/>
        </w:rPr>
      </w:pPr>
      <w:r w:rsidRPr="00CB5053">
        <w:rPr>
          <w:rFonts w:cs="Times New Roman"/>
          <w:b/>
          <w:bCs/>
        </w:rPr>
        <w:lastRenderedPageBreak/>
        <w:t>1. számú ábra</w:t>
      </w:r>
    </w:p>
    <w:p w14:paraId="3BE0182B" w14:textId="33B6B133" w:rsidR="00673BB8" w:rsidRDefault="00673BB8" w:rsidP="00673BB8">
      <w:pPr>
        <w:tabs>
          <w:tab w:val="center" w:pos="6804"/>
        </w:tabs>
        <w:jc w:val="center"/>
        <w:rPr>
          <w:rFonts w:cs="Times New Roman"/>
        </w:rPr>
      </w:pPr>
      <w:r w:rsidRPr="00CB5053">
        <w:rPr>
          <w:rFonts w:cs="Times New Roman"/>
        </w:rPr>
        <w:t>A 2025. évi eredeti előirányzat bevételeinek arányai</w:t>
      </w:r>
    </w:p>
    <w:p w14:paraId="04D7B86A" w14:textId="77777777" w:rsidR="00450B62" w:rsidRDefault="00450B62" w:rsidP="00673BB8">
      <w:pPr>
        <w:tabs>
          <w:tab w:val="center" w:pos="6804"/>
        </w:tabs>
        <w:jc w:val="center"/>
        <w:rPr>
          <w:rFonts w:cs="Times New Roman"/>
        </w:rPr>
      </w:pPr>
    </w:p>
    <w:p w14:paraId="09C9FB36" w14:textId="3F955A0E" w:rsidR="00673BB8" w:rsidRPr="00CB5053" w:rsidRDefault="00450B62" w:rsidP="00450B62">
      <w:pPr>
        <w:tabs>
          <w:tab w:val="center" w:pos="6804"/>
        </w:tabs>
        <w:jc w:val="center"/>
        <w:rPr>
          <w:rFonts w:cs="Times New Roman"/>
        </w:rPr>
      </w:pPr>
      <w:r>
        <w:rPr>
          <w:noProof/>
        </w:rPr>
        <w:drawing>
          <wp:anchor distT="0" distB="0" distL="114300" distR="114300" simplePos="0" relativeHeight="251666432" behindDoc="0" locked="0" layoutInCell="1" allowOverlap="1" wp14:anchorId="2D8F80B1" wp14:editId="3BAB5077">
            <wp:simplePos x="0" y="0"/>
            <wp:positionH relativeFrom="column">
              <wp:posOffset>0</wp:posOffset>
            </wp:positionH>
            <wp:positionV relativeFrom="paragraph">
              <wp:posOffset>-1905</wp:posOffset>
            </wp:positionV>
            <wp:extent cx="5732145" cy="3166110"/>
            <wp:effectExtent l="0" t="0" r="1905" b="15240"/>
            <wp:wrapSquare wrapText="bothSides"/>
            <wp:docPr id="2039943983" name="Diagram 1">
              <a:extLst xmlns:a="http://schemas.openxmlformats.org/drawingml/2006/main">
                <a:ext uri="{FF2B5EF4-FFF2-40B4-BE49-F238E27FC236}">
                  <a16:creationId xmlns:a16="http://schemas.microsoft.com/office/drawing/2014/main" id="{4B56072E-F615-5D3F-B724-5A659CA96C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73BB8" w:rsidRPr="00CB5053">
        <w:rPr>
          <w:rFonts w:cs="Times New Roman"/>
        </w:rPr>
        <w:t xml:space="preserve">A bevételek között jelentős arányt képviselnek a </w:t>
      </w:r>
      <w:r w:rsidR="003C2D5D" w:rsidRPr="00CB5053">
        <w:rPr>
          <w:rFonts w:cs="Times New Roman"/>
        </w:rPr>
        <w:t xml:space="preserve">működési célú </w:t>
      </w:r>
      <w:r w:rsidR="00673BB8" w:rsidRPr="00CB5053">
        <w:rPr>
          <w:rFonts w:cs="Times New Roman"/>
        </w:rPr>
        <w:t xml:space="preserve">támogatások: </w:t>
      </w:r>
      <w:r w:rsidR="003C2D5D" w:rsidRPr="00CB5053">
        <w:rPr>
          <w:rFonts w:cs="Times New Roman"/>
        </w:rPr>
        <w:t>3</w:t>
      </w:r>
      <w:r w:rsidR="00D3542C">
        <w:rPr>
          <w:rFonts w:cs="Times New Roman"/>
        </w:rPr>
        <w:t>4</w:t>
      </w:r>
      <w:r w:rsidR="00673BB8" w:rsidRPr="00CB5053">
        <w:rPr>
          <w:rFonts w:cs="Times New Roman"/>
        </w:rPr>
        <w:t>%-ot. Éppen ezért mindent meg kell tennünk, hogy ezt a bevételi forrást is a lehető legnagyobb mértékben növeljük meg (figyelembe véve az elszámolásával kapcsolatos kötelezettségeket).</w:t>
      </w:r>
    </w:p>
    <w:p w14:paraId="4AED123F" w14:textId="77777777" w:rsidR="00673BB8" w:rsidRPr="00CB5053" w:rsidRDefault="00673BB8" w:rsidP="00673BB8">
      <w:pPr>
        <w:tabs>
          <w:tab w:val="center" w:pos="6804"/>
        </w:tabs>
        <w:jc w:val="center"/>
        <w:rPr>
          <w:rFonts w:cs="Times New Roman"/>
        </w:rPr>
      </w:pPr>
    </w:p>
    <w:p w14:paraId="03E1CA9D" w14:textId="77777777" w:rsidR="00673BB8" w:rsidRPr="00CB5053" w:rsidRDefault="00673BB8" w:rsidP="00673BB8">
      <w:pPr>
        <w:tabs>
          <w:tab w:val="center" w:pos="6804"/>
        </w:tabs>
        <w:rPr>
          <w:rFonts w:cs="Times New Roman"/>
          <w:i/>
          <w:iCs/>
        </w:rPr>
      </w:pPr>
      <w:r w:rsidRPr="00CB5053">
        <w:rPr>
          <w:rFonts w:cs="Times New Roman"/>
          <w:i/>
          <w:iCs/>
        </w:rPr>
        <w:t>4. Az önkormányzat kiadási előirányzatainak elemzése</w:t>
      </w:r>
    </w:p>
    <w:p w14:paraId="0826A6B4" w14:textId="77777777" w:rsidR="00673BB8" w:rsidRPr="00CB5053" w:rsidRDefault="00673BB8" w:rsidP="00673BB8">
      <w:pPr>
        <w:jc w:val="both"/>
        <w:rPr>
          <w:rFonts w:cs="Times New Roman"/>
        </w:rPr>
      </w:pPr>
    </w:p>
    <w:p w14:paraId="4DD60DAC" w14:textId="452166BD" w:rsidR="00673BB8" w:rsidRPr="00CB5053" w:rsidRDefault="00673BB8" w:rsidP="00673BB8">
      <w:pPr>
        <w:jc w:val="both"/>
        <w:rPr>
          <w:rFonts w:cs="Times New Roman"/>
        </w:rPr>
      </w:pPr>
      <w:r w:rsidRPr="00CB5053">
        <w:rPr>
          <w:rFonts w:cs="Times New Roman"/>
        </w:rPr>
        <w:t xml:space="preserve">A 2025. évi költségvetési kiadások tervezett előirányzata </w:t>
      </w:r>
      <w:r w:rsidR="00D3542C">
        <w:rPr>
          <w:rFonts w:cs="Times New Roman"/>
        </w:rPr>
        <w:t>643.617.129</w:t>
      </w:r>
      <w:r w:rsidRPr="00CB5053">
        <w:rPr>
          <w:rFonts w:cs="Times New Roman"/>
        </w:rPr>
        <w:t xml:space="preserve"> Ft, melyet a </w:t>
      </w:r>
      <w:proofErr w:type="spellStart"/>
      <w:r w:rsidRPr="00CB5053">
        <w:rPr>
          <w:rFonts w:cs="Times New Roman"/>
        </w:rPr>
        <w:t>finanszírozású</w:t>
      </w:r>
      <w:proofErr w:type="spellEnd"/>
      <w:r w:rsidRPr="00CB5053">
        <w:rPr>
          <w:rFonts w:cs="Times New Roman"/>
        </w:rPr>
        <w:t xml:space="preserve"> célú pénzügyi műveletek kiadásai </w:t>
      </w:r>
      <w:r w:rsidR="004E4B34" w:rsidRPr="00CB5053">
        <w:rPr>
          <w:rFonts w:cs="Times New Roman"/>
        </w:rPr>
        <w:t>0</w:t>
      </w:r>
      <w:r w:rsidRPr="00CB5053">
        <w:rPr>
          <w:rFonts w:cs="Times New Roman"/>
        </w:rPr>
        <w:t xml:space="preserve"> Ft-tal egészítenek ki, így összesen </w:t>
      </w:r>
      <w:r w:rsidR="00D3542C">
        <w:rPr>
          <w:rFonts w:cs="Times New Roman"/>
        </w:rPr>
        <w:t>643.617.129</w:t>
      </w:r>
      <w:r w:rsidRPr="00CB5053">
        <w:rPr>
          <w:rFonts w:cs="Times New Roman"/>
        </w:rPr>
        <w:t xml:space="preserve"> Ft kiadással számoltunk erre az évre. </w:t>
      </w:r>
    </w:p>
    <w:p w14:paraId="27D767DC" w14:textId="77777777" w:rsidR="00673BB8" w:rsidRPr="00CB5053" w:rsidRDefault="00673BB8" w:rsidP="00673BB8">
      <w:pPr>
        <w:jc w:val="both"/>
        <w:rPr>
          <w:rFonts w:cs="Times New Roman"/>
        </w:rPr>
      </w:pPr>
    </w:p>
    <w:p w14:paraId="0DB83DBD" w14:textId="56E44792" w:rsidR="00673BB8" w:rsidRPr="00CB5053" w:rsidRDefault="00673BB8" w:rsidP="00673BB8">
      <w:pPr>
        <w:jc w:val="both"/>
        <w:rPr>
          <w:rFonts w:cs="Times New Roman"/>
        </w:rPr>
      </w:pPr>
      <w:r w:rsidRPr="00CB5053">
        <w:rPr>
          <w:rFonts w:cs="Times New Roman"/>
        </w:rPr>
        <w:t xml:space="preserve">Az önkormányzat a kötelező és önként vállalt feladatok körében egyaránt színvonalas közszolgáltatásokat kíván nyújtani. A feladatellátás tárgyi és személyi feltételei biztosítottak, azonban a működési célú kiadások az Önkormányzat tervezett bevételének a </w:t>
      </w:r>
      <w:r w:rsidR="004F4003" w:rsidRPr="00CB5053">
        <w:rPr>
          <w:rFonts w:cs="Times New Roman"/>
        </w:rPr>
        <w:t>6</w:t>
      </w:r>
      <w:r w:rsidR="00D3542C">
        <w:rPr>
          <w:rFonts w:cs="Times New Roman"/>
        </w:rPr>
        <w:t>1</w:t>
      </w:r>
      <w:r w:rsidRPr="00CB5053">
        <w:rPr>
          <w:rFonts w:cs="Times New Roman"/>
        </w:rPr>
        <w:t xml:space="preserve">%-át teszik ki, így beruházási és felújítási kiadásokra (település fejlesztésre) a tervezett források </w:t>
      </w:r>
      <w:r w:rsidR="00D3542C">
        <w:rPr>
          <w:rFonts w:cs="Times New Roman"/>
        </w:rPr>
        <w:t>39</w:t>
      </w:r>
      <w:r w:rsidRPr="00CB5053">
        <w:rPr>
          <w:rFonts w:cs="Times New Roman"/>
        </w:rPr>
        <w:t xml:space="preserve">%-át tudjuk előirányozni, a fennmaradó </w:t>
      </w:r>
      <w:r w:rsidR="004F4003" w:rsidRPr="00CB5053">
        <w:rPr>
          <w:rFonts w:cs="Times New Roman"/>
        </w:rPr>
        <w:t>0</w:t>
      </w:r>
      <w:r w:rsidRPr="00CB5053">
        <w:rPr>
          <w:rFonts w:cs="Times New Roman"/>
        </w:rPr>
        <w:t xml:space="preserve">%-ot finanszírozási kiadásokra költjük el – ez nem más, mint az állami megelőlegező támogatás visszafizetése. A működési kiadások tartalmazzák a személyi juttatásokat, azok járulékait, a dologi kiadásokat, a segélyeket és a civil támogatásokat is. </w:t>
      </w:r>
    </w:p>
    <w:p w14:paraId="702534D4" w14:textId="77777777" w:rsidR="00673BB8" w:rsidRPr="00CB5053" w:rsidRDefault="00673BB8" w:rsidP="00673BB8">
      <w:pPr>
        <w:jc w:val="both"/>
        <w:rPr>
          <w:rFonts w:cs="Times New Roman"/>
        </w:rPr>
      </w:pPr>
    </w:p>
    <w:p w14:paraId="5E68998E" w14:textId="5922F981" w:rsidR="00673BB8" w:rsidRPr="00CB5053" w:rsidRDefault="00673BB8" w:rsidP="00673BB8">
      <w:pPr>
        <w:jc w:val="both"/>
        <w:rPr>
          <w:rFonts w:cs="Times New Roman"/>
        </w:rPr>
      </w:pPr>
      <w:r w:rsidRPr="00CB5053">
        <w:rPr>
          <w:rFonts w:cs="Times New Roman"/>
        </w:rPr>
        <w:t xml:space="preserve">A 2025. évben a költségvetési bevételek </w:t>
      </w:r>
      <w:r w:rsidR="00D23D6C" w:rsidRPr="00CB5053">
        <w:rPr>
          <w:rFonts w:cs="Times New Roman"/>
        </w:rPr>
        <w:t>2</w:t>
      </w:r>
      <w:r w:rsidR="00D3542C">
        <w:rPr>
          <w:rFonts w:cs="Times New Roman"/>
        </w:rPr>
        <w:t>3</w:t>
      </w:r>
      <w:r w:rsidRPr="00CB5053">
        <w:rPr>
          <w:rFonts w:cs="Times New Roman"/>
        </w:rPr>
        <w:t>%-át fordítja az Önkormányzat az intézményi feladatellátásra. Az Önkormányzat által működtetett szociális támogatási rendszer 2025. évben is megfelelő támogatást tud nyújtani a nehéz anyagi helyzetben lévők számára.</w:t>
      </w:r>
    </w:p>
    <w:p w14:paraId="6DD7D631" w14:textId="77777777" w:rsidR="00673BB8" w:rsidRPr="00CB5053" w:rsidRDefault="00673BB8" w:rsidP="00673BB8">
      <w:pPr>
        <w:jc w:val="both"/>
        <w:rPr>
          <w:rFonts w:cs="Times New Roman"/>
        </w:rPr>
      </w:pPr>
    </w:p>
    <w:p w14:paraId="0C410E70" w14:textId="5C7F341A" w:rsidR="00673BB8" w:rsidRPr="00CB5053" w:rsidRDefault="00673BB8" w:rsidP="00673BB8">
      <w:pPr>
        <w:jc w:val="both"/>
        <w:rPr>
          <w:rFonts w:cs="Times New Roman"/>
        </w:rPr>
      </w:pPr>
      <w:r w:rsidRPr="00CB5053">
        <w:rPr>
          <w:rFonts w:cs="Times New Roman"/>
        </w:rPr>
        <w:t>Az önkormányzat intézményeiben foglalkoztatottak l</w:t>
      </w:r>
      <w:r w:rsidR="002D2EB8">
        <w:rPr>
          <w:rFonts w:cs="Times New Roman"/>
        </w:rPr>
        <w:t xml:space="preserve">étszámkerete a javaslat szerint </w:t>
      </w:r>
      <w:r w:rsidR="00B14743">
        <w:rPr>
          <w:rFonts w:cs="Times New Roman"/>
        </w:rPr>
        <w:t>16</w:t>
      </w:r>
      <w:r w:rsidRPr="002D2EB8">
        <w:rPr>
          <w:rFonts w:cs="Times New Roman"/>
        </w:rPr>
        <w:t xml:space="preserve"> fő </w:t>
      </w:r>
      <w:r w:rsidR="002D2EB8" w:rsidRPr="002D2EB8">
        <w:rPr>
          <w:rFonts w:cs="Times New Roman"/>
        </w:rPr>
        <w:t>(Óvoda 1</w:t>
      </w:r>
      <w:r w:rsidR="00B14743">
        <w:rPr>
          <w:rFonts w:cs="Times New Roman"/>
        </w:rPr>
        <w:t>1</w:t>
      </w:r>
      <w:r w:rsidRPr="002D2EB8">
        <w:rPr>
          <w:rFonts w:cs="Times New Roman"/>
        </w:rPr>
        <w:t xml:space="preserve"> fő)</w:t>
      </w:r>
      <w:r w:rsidRPr="00CB5053">
        <w:rPr>
          <w:rFonts w:cs="Times New Roman"/>
        </w:rPr>
        <w:t xml:space="preserve">. A közfoglalkoztatás keretében történő foglalkoztatással </w:t>
      </w:r>
      <w:r w:rsidR="002D2EB8">
        <w:rPr>
          <w:rFonts w:cs="Times New Roman"/>
        </w:rPr>
        <w:t>2</w:t>
      </w:r>
      <w:r w:rsidRPr="002D2EB8">
        <w:rPr>
          <w:rFonts w:cs="Times New Roman"/>
        </w:rPr>
        <w:t xml:space="preserve"> fővel </w:t>
      </w:r>
      <w:r w:rsidRPr="00CB5053">
        <w:rPr>
          <w:rFonts w:cs="Times New Roman"/>
        </w:rPr>
        <w:t>számoltunk.</w:t>
      </w:r>
    </w:p>
    <w:p w14:paraId="7813403B" w14:textId="77777777" w:rsidR="004D31A2" w:rsidRDefault="004D31A2" w:rsidP="00673BB8">
      <w:pPr>
        <w:tabs>
          <w:tab w:val="center" w:pos="6804"/>
        </w:tabs>
        <w:jc w:val="center"/>
        <w:rPr>
          <w:rFonts w:cs="Times New Roman"/>
          <w:b/>
          <w:bCs/>
        </w:rPr>
      </w:pPr>
      <w:r>
        <w:rPr>
          <w:rFonts w:cs="Times New Roman"/>
          <w:b/>
          <w:bCs/>
        </w:rPr>
        <w:br w:type="page"/>
      </w:r>
    </w:p>
    <w:p w14:paraId="2AE7A0EC" w14:textId="542E07A1" w:rsidR="00673BB8" w:rsidRPr="00CB5053" w:rsidRDefault="004D31A2" w:rsidP="00673BB8">
      <w:pPr>
        <w:tabs>
          <w:tab w:val="center" w:pos="6804"/>
        </w:tabs>
        <w:jc w:val="center"/>
        <w:rPr>
          <w:rFonts w:cs="Times New Roman"/>
          <w:b/>
          <w:bCs/>
        </w:rPr>
      </w:pPr>
      <w:r>
        <w:rPr>
          <w:rFonts w:cs="Times New Roman"/>
          <w:b/>
          <w:bCs/>
        </w:rPr>
        <w:lastRenderedPageBreak/>
        <w:t>2</w:t>
      </w:r>
      <w:r w:rsidR="00673BB8" w:rsidRPr="00CB5053">
        <w:rPr>
          <w:rFonts w:cs="Times New Roman"/>
          <w:b/>
          <w:bCs/>
        </w:rPr>
        <w:t>. számú ábra</w:t>
      </w:r>
    </w:p>
    <w:p w14:paraId="131554BB" w14:textId="5C778490" w:rsidR="00673BB8" w:rsidRPr="00CB5053" w:rsidRDefault="00673BB8" w:rsidP="00673BB8">
      <w:pPr>
        <w:tabs>
          <w:tab w:val="center" w:pos="6804"/>
        </w:tabs>
        <w:jc w:val="center"/>
        <w:rPr>
          <w:rFonts w:cs="Times New Roman"/>
        </w:rPr>
      </w:pPr>
      <w:r w:rsidRPr="00CB5053">
        <w:rPr>
          <w:rFonts w:cs="Times New Roman"/>
        </w:rPr>
        <w:t>A 2025. évi eredeti előirányzat kiadásainak arányai</w:t>
      </w:r>
    </w:p>
    <w:p w14:paraId="346038FD" w14:textId="77777777" w:rsidR="00673BB8" w:rsidRPr="00CB5053" w:rsidRDefault="00673BB8" w:rsidP="00673BB8">
      <w:pPr>
        <w:tabs>
          <w:tab w:val="center" w:pos="6804"/>
        </w:tabs>
        <w:jc w:val="center"/>
        <w:rPr>
          <w:rFonts w:cs="Times New Roman"/>
        </w:rPr>
      </w:pPr>
    </w:p>
    <w:p w14:paraId="4E2A0DB9" w14:textId="77777777" w:rsidR="00673BB8" w:rsidRPr="00CB5053" w:rsidRDefault="00673BB8" w:rsidP="00673BB8">
      <w:pPr>
        <w:tabs>
          <w:tab w:val="center" w:pos="6804"/>
        </w:tabs>
        <w:rPr>
          <w:rFonts w:cs="Times New Roman"/>
          <w:i/>
          <w:iCs/>
        </w:rPr>
      </w:pPr>
      <w:r w:rsidRPr="00CB5053">
        <w:rPr>
          <w:rFonts w:cs="Times New Roman"/>
          <w:i/>
          <w:iCs/>
        </w:rPr>
        <w:t>6. Az önkormányzat bevételi és kiadási főösszegének elemzése</w:t>
      </w:r>
    </w:p>
    <w:p w14:paraId="3E5D5F9A" w14:textId="77777777" w:rsidR="00673BB8" w:rsidRDefault="00673BB8" w:rsidP="00673BB8">
      <w:pPr>
        <w:jc w:val="both"/>
        <w:rPr>
          <w:rFonts w:cs="Times New Roman"/>
        </w:rPr>
      </w:pPr>
    </w:p>
    <w:p w14:paraId="68D979CF" w14:textId="54AFBD42" w:rsidR="00E65529" w:rsidRPr="00CB5053" w:rsidRDefault="00E65529" w:rsidP="00673BB8">
      <w:pPr>
        <w:jc w:val="both"/>
        <w:rPr>
          <w:rFonts w:cs="Times New Roman"/>
        </w:rPr>
      </w:pPr>
      <w:r>
        <w:rPr>
          <w:noProof/>
        </w:rPr>
        <w:drawing>
          <wp:anchor distT="0" distB="0" distL="114300" distR="114300" simplePos="0" relativeHeight="251667456" behindDoc="0" locked="0" layoutInCell="1" allowOverlap="1" wp14:anchorId="74FC6637" wp14:editId="19234564">
            <wp:simplePos x="0" y="0"/>
            <wp:positionH relativeFrom="column">
              <wp:posOffset>0</wp:posOffset>
            </wp:positionH>
            <wp:positionV relativeFrom="paragraph">
              <wp:posOffset>1905</wp:posOffset>
            </wp:positionV>
            <wp:extent cx="5732145" cy="3141345"/>
            <wp:effectExtent l="0" t="0" r="1905" b="1905"/>
            <wp:wrapSquare wrapText="bothSides"/>
            <wp:docPr id="228743059" name="Diagram 1">
              <a:extLst xmlns:a="http://schemas.openxmlformats.org/drawingml/2006/main">
                <a:ext uri="{FF2B5EF4-FFF2-40B4-BE49-F238E27FC236}">
                  <a16:creationId xmlns:a16="http://schemas.microsoft.com/office/drawing/2014/main" id="{D44C424E-EA74-40A7-A783-EDC8AFF699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F297848" w14:textId="4296664E" w:rsidR="00673BB8" w:rsidRPr="00CB5053" w:rsidRDefault="004D31A2" w:rsidP="00673BB8">
      <w:pPr>
        <w:tabs>
          <w:tab w:val="center" w:pos="6804"/>
        </w:tabs>
        <w:jc w:val="center"/>
        <w:rPr>
          <w:rFonts w:cs="Times New Roman"/>
          <w:b/>
          <w:bCs/>
        </w:rPr>
      </w:pPr>
      <w:r>
        <w:rPr>
          <w:rFonts w:cs="Times New Roman"/>
          <w:b/>
          <w:bCs/>
        </w:rPr>
        <w:t>3</w:t>
      </w:r>
      <w:r w:rsidR="00673BB8" w:rsidRPr="00CB5053">
        <w:rPr>
          <w:rFonts w:cs="Times New Roman"/>
          <w:b/>
          <w:bCs/>
        </w:rPr>
        <w:t>. számú ábra</w:t>
      </w:r>
    </w:p>
    <w:p w14:paraId="14F813C3" w14:textId="3C0C23CB" w:rsidR="00673BB8" w:rsidRPr="00CB5053" w:rsidRDefault="00673BB8" w:rsidP="00673BB8">
      <w:pPr>
        <w:tabs>
          <w:tab w:val="center" w:pos="6804"/>
        </w:tabs>
        <w:jc w:val="center"/>
        <w:rPr>
          <w:rFonts w:cs="Times New Roman"/>
        </w:rPr>
      </w:pPr>
      <w:r w:rsidRPr="00CB5053">
        <w:rPr>
          <w:rFonts w:cs="Times New Roman"/>
        </w:rPr>
        <w:t>A költségvetési főösszegek összehasonlítása az előző évi teljesítések adataival</w:t>
      </w:r>
    </w:p>
    <w:p w14:paraId="0C1ADCC3" w14:textId="4D6EF8F3" w:rsidR="00673BB8" w:rsidRDefault="00673BB8" w:rsidP="00673BB8">
      <w:pPr>
        <w:tabs>
          <w:tab w:val="center" w:pos="6804"/>
        </w:tabs>
        <w:rPr>
          <w:rFonts w:cs="Times New Roman"/>
        </w:rPr>
      </w:pPr>
    </w:p>
    <w:p w14:paraId="1C726F72" w14:textId="092280E0" w:rsidR="008B51FA" w:rsidRPr="00CB5053" w:rsidRDefault="008B51FA" w:rsidP="00673BB8">
      <w:pPr>
        <w:tabs>
          <w:tab w:val="center" w:pos="6804"/>
        </w:tabs>
        <w:rPr>
          <w:rFonts w:cs="Times New Roman"/>
        </w:rPr>
      </w:pPr>
      <w:r>
        <w:rPr>
          <w:noProof/>
        </w:rPr>
        <w:drawing>
          <wp:anchor distT="0" distB="0" distL="114300" distR="114300" simplePos="0" relativeHeight="251668480" behindDoc="0" locked="0" layoutInCell="1" allowOverlap="1" wp14:anchorId="0BB6BEB6" wp14:editId="611C453D">
            <wp:simplePos x="0" y="0"/>
            <wp:positionH relativeFrom="column">
              <wp:posOffset>0</wp:posOffset>
            </wp:positionH>
            <wp:positionV relativeFrom="paragraph">
              <wp:posOffset>1905</wp:posOffset>
            </wp:positionV>
            <wp:extent cx="5732145" cy="3810000"/>
            <wp:effectExtent l="0" t="0" r="1905" b="0"/>
            <wp:wrapSquare wrapText="bothSides"/>
            <wp:docPr id="269844414" name="Diagram 1">
              <a:extLst xmlns:a="http://schemas.openxmlformats.org/drawingml/2006/main">
                <a:ext uri="{FF2B5EF4-FFF2-40B4-BE49-F238E27FC236}">
                  <a16:creationId xmlns:a16="http://schemas.microsoft.com/office/drawing/2014/main" id="{B465924E-5536-4345-979D-60B13DD89F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D93CBCD" w14:textId="0ECE7769" w:rsidR="00673BB8" w:rsidRPr="00CB5053" w:rsidRDefault="00673BB8" w:rsidP="00673BB8">
      <w:pPr>
        <w:tabs>
          <w:tab w:val="center" w:pos="6804"/>
        </w:tabs>
        <w:rPr>
          <w:rFonts w:cs="Times New Roman"/>
        </w:rPr>
      </w:pPr>
    </w:p>
    <w:p w14:paraId="1F1D1DCF" w14:textId="3E95146F" w:rsidR="00673BB8" w:rsidRPr="00CB5053" w:rsidRDefault="00673BB8" w:rsidP="00673BB8">
      <w:pPr>
        <w:jc w:val="both"/>
        <w:rPr>
          <w:rFonts w:cs="Times New Roman"/>
          <w:i/>
          <w:iCs/>
        </w:rPr>
      </w:pPr>
      <w:r w:rsidRPr="00CB5053">
        <w:rPr>
          <w:rFonts w:cs="Times New Roman"/>
          <w:i/>
          <w:iCs/>
        </w:rPr>
        <w:t>8. Egyéb tájékoztatások</w:t>
      </w:r>
    </w:p>
    <w:p w14:paraId="3B0D4B31" w14:textId="77777777" w:rsidR="00673BB8" w:rsidRPr="00CB5053" w:rsidRDefault="00673BB8" w:rsidP="00673BB8">
      <w:pPr>
        <w:jc w:val="both"/>
        <w:rPr>
          <w:rFonts w:cs="Times New Roman"/>
        </w:rPr>
      </w:pPr>
    </w:p>
    <w:p w14:paraId="080A6B19" w14:textId="595D3C0F" w:rsidR="00673BB8" w:rsidRPr="00CB5053" w:rsidRDefault="00673BB8" w:rsidP="00673BB8">
      <w:pPr>
        <w:jc w:val="both"/>
        <w:rPr>
          <w:rFonts w:cs="Times New Roman"/>
        </w:rPr>
      </w:pPr>
      <w:r w:rsidRPr="00CB5053">
        <w:rPr>
          <w:rFonts w:cs="Times New Roman"/>
        </w:rPr>
        <w:t xml:space="preserve">A </w:t>
      </w:r>
      <w:proofErr w:type="spellStart"/>
      <w:r w:rsidR="000C41D7" w:rsidRPr="00CB5053">
        <w:rPr>
          <w:rFonts w:cs="Times New Roman"/>
        </w:rPr>
        <w:t>Márianosztrai</w:t>
      </w:r>
      <w:proofErr w:type="spellEnd"/>
      <w:r w:rsidRPr="00CB5053">
        <w:rPr>
          <w:rFonts w:cs="Times New Roman"/>
        </w:rPr>
        <w:t xml:space="preserve"> Közös Önkormányzati Hivatal, </w:t>
      </w:r>
      <w:r w:rsidR="000C41D7" w:rsidRPr="00CB5053">
        <w:rPr>
          <w:rFonts w:cs="Times New Roman"/>
        </w:rPr>
        <w:t>Zebegényi</w:t>
      </w:r>
      <w:r w:rsidRPr="00CB5053">
        <w:rPr>
          <w:rFonts w:cs="Times New Roman"/>
        </w:rPr>
        <w:t xml:space="preserve"> Kirendeltségének bevételeit és kiadásait </w:t>
      </w:r>
      <w:r w:rsidR="000C41D7" w:rsidRPr="00CB5053">
        <w:rPr>
          <w:rFonts w:cs="Times New Roman"/>
        </w:rPr>
        <w:t>Márianosztra</w:t>
      </w:r>
      <w:r w:rsidRPr="00CB5053">
        <w:rPr>
          <w:rFonts w:cs="Times New Roman"/>
        </w:rPr>
        <w:t xml:space="preserve"> Község Önkormányzatának 2025. évi költségvetés tervezete tartalmazza. </w:t>
      </w:r>
      <w:r w:rsidR="000C41D7" w:rsidRPr="00CB5053">
        <w:rPr>
          <w:rFonts w:cs="Times New Roman"/>
        </w:rPr>
        <w:t>Zebegény</w:t>
      </w:r>
      <w:r w:rsidRPr="00CB5053">
        <w:rPr>
          <w:rFonts w:cs="Times New Roman"/>
        </w:rPr>
        <w:t xml:space="preserve"> Község Önkormányzatának 2025. évi költségvetési rendelet-tervezetében </w:t>
      </w:r>
      <w:r w:rsidR="000C41D7" w:rsidRPr="00CB5053">
        <w:rPr>
          <w:rFonts w:cs="Times New Roman"/>
        </w:rPr>
        <w:t>5</w:t>
      </w:r>
      <w:r w:rsidRPr="00CB5053">
        <w:rPr>
          <w:rFonts w:cs="Times New Roman"/>
        </w:rPr>
        <w:t xml:space="preserve"> millió Ft önkormányzati hozzájárulás került tervezésre a </w:t>
      </w:r>
      <w:r w:rsidR="000C41D7" w:rsidRPr="00CB5053">
        <w:rPr>
          <w:rFonts w:cs="Times New Roman"/>
        </w:rPr>
        <w:t>Zebegényi</w:t>
      </w:r>
      <w:r w:rsidRPr="00CB5053">
        <w:rPr>
          <w:rFonts w:cs="Times New Roman"/>
        </w:rPr>
        <w:t xml:space="preserve"> Kirendeltséggel kapcsolatos kiadásokra.</w:t>
      </w:r>
    </w:p>
    <w:p w14:paraId="12BB5ED3" w14:textId="77777777" w:rsidR="00673BB8" w:rsidRPr="00CB5053" w:rsidRDefault="00673BB8" w:rsidP="00673BB8">
      <w:pPr>
        <w:jc w:val="both"/>
        <w:rPr>
          <w:rFonts w:cs="Times New Roman"/>
        </w:rPr>
      </w:pPr>
    </w:p>
    <w:p w14:paraId="1191BCD6" w14:textId="5AD5308D" w:rsidR="00673BB8" w:rsidRPr="00CB5053" w:rsidRDefault="00673BB8" w:rsidP="00673BB8">
      <w:pPr>
        <w:jc w:val="both"/>
        <w:rPr>
          <w:rFonts w:cs="Times New Roman"/>
          <w:i/>
          <w:iCs/>
        </w:rPr>
      </w:pPr>
    </w:p>
    <w:p w14:paraId="1F060A8D" w14:textId="77777777" w:rsidR="00673BB8" w:rsidRPr="00CB5053" w:rsidRDefault="00673BB8" w:rsidP="00673BB8">
      <w:pPr>
        <w:jc w:val="both"/>
        <w:rPr>
          <w:rFonts w:cs="Times New Roman"/>
          <w:i/>
          <w:iCs/>
        </w:rPr>
      </w:pPr>
      <w:r w:rsidRPr="00CB5053">
        <w:rPr>
          <w:rFonts w:cs="Times New Roman"/>
          <w:i/>
          <w:iCs/>
        </w:rPr>
        <w:t>9. A 2025. évi költségvetési rendelet-tervezet hatásvizsgálata</w:t>
      </w:r>
    </w:p>
    <w:p w14:paraId="45CF8E87" w14:textId="77777777" w:rsidR="00673BB8" w:rsidRPr="00CB5053" w:rsidRDefault="00673BB8" w:rsidP="00673BB8">
      <w:pPr>
        <w:tabs>
          <w:tab w:val="right" w:pos="9638"/>
        </w:tabs>
        <w:jc w:val="both"/>
        <w:rPr>
          <w:rFonts w:cs="Times New Roman"/>
        </w:rPr>
      </w:pPr>
    </w:p>
    <w:p w14:paraId="469B9993" w14:textId="77777777" w:rsidR="00673BB8" w:rsidRPr="00CB5053" w:rsidRDefault="00673BB8" w:rsidP="00673BB8">
      <w:pPr>
        <w:jc w:val="both"/>
        <w:rPr>
          <w:rFonts w:cs="Times New Roman"/>
        </w:rPr>
      </w:pPr>
      <w:r w:rsidRPr="00CB5053">
        <w:rPr>
          <w:rFonts w:cs="Times New Roman"/>
        </w:rPr>
        <w:t xml:space="preserve">A </w:t>
      </w:r>
      <w:r w:rsidRPr="00CB5053">
        <w:rPr>
          <w:rFonts w:cs="Times New Roman"/>
          <w:u w:val="single"/>
        </w:rPr>
        <w:t>jogalkotásról szóló 2010. évi CXXX. törvény (</w:t>
      </w:r>
      <w:proofErr w:type="spellStart"/>
      <w:r w:rsidRPr="00CB5053">
        <w:rPr>
          <w:rFonts w:cs="Times New Roman"/>
          <w:u w:val="single"/>
        </w:rPr>
        <w:t>Jat</w:t>
      </w:r>
      <w:proofErr w:type="spellEnd"/>
      <w:r w:rsidRPr="00CB5053">
        <w:rPr>
          <w:rFonts w:cs="Times New Roman"/>
          <w:u w:val="single"/>
        </w:rPr>
        <w:t>.) 17. §-a alapján</w:t>
      </w:r>
      <w:r w:rsidRPr="00CB5053">
        <w:rPr>
          <w:rFonts w:cs="Times New Roman"/>
        </w:rPr>
        <w:t xml:space="preserve"> a költségvetési rendelet előkészítése során előzetes hatásvizsgálatot végeztünk, melyben felmértük a szabályozás várható következményeit.</w:t>
      </w:r>
    </w:p>
    <w:p w14:paraId="5A5F6FA5" w14:textId="77777777" w:rsidR="00673BB8" w:rsidRPr="00CB5053" w:rsidRDefault="00673BB8" w:rsidP="00673BB8">
      <w:pPr>
        <w:jc w:val="both"/>
        <w:rPr>
          <w:rFonts w:cs="Times New Roman"/>
        </w:rPr>
      </w:pPr>
    </w:p>
    <w:p w14:paraId="1A4B0594" w14:textId="77777777" w:rsidR="00673BB8" w:rsidRPr="00CB5053" w:rsidRDefault="00673BB8" w:rsidP="00673BB8">
      <w:pPr>
        <w:jc w:val="both"/>
        <w:rPr>
          <w:rFonts w:cs="Times New Roman"/>
          <w:b/>
        </w:rPr>
      </w:pPr>
      <w:r w:rsidRPr="00CB5053">
        <w:rPr>
          <w:rFonts w:cs="Times New Roman"/>
          <w:b/>
        </w:rPr>
        <w:t xml:space="preserve">A költségvetési rendelettervezet előzetes hatásvizsgálatának megállapításai a következők: </w:t>
      </w:r>
    </w:p>
    <w:p w14:paraId="4B21C32D" w14:textId="77777777" w:rsidR="00673BB8" w:rsidRPr="00CB5053" w:rsidRDefault="00673BB8" w:rsidP="00673BB8">
      <w:pPr>
        <w:jc w:val="both"/>
        <w:rPr>
          <w:rFonts w:cs="Times New Roman"/>
        </w:rPr>
      </w:pPr>
    </w:p>
    <w:p w14:paraId="694968F7" w14:textId="77777777" w:rsidR="00673BB8" w:rsidRPr="00CB5053" w:rsidRDefault="00673BB8" w:rsidP="00673BB8">
      <w:pPr>
        <w:jc w:val="both"/>
        <w:rPr>
          <w:rFonts w:cs="Times New Roman"/>
        </w:rPr>
      </w:pPr>
      <w:r w:rsidRPr="00CB5053">
        <w:rPr>
          <w:rFonts w:cs="Times New Roman"/>
          <w:i/>
        </w:rPr>
        <w:t xml:space="preserve">Társadalmi, gazdasági, hatások – </w:t>
      </w:r>
      <w:r w:rsidRPr="00CB5053">
        <w:rPr>
          <w:rFonts w:cs="Times New Roman"/>
        </w:rPr>
        <w:t xml:space="preserve">A költségvetési rendeletben foglaltak végrehajtása elősegíti az önkormányzat előző Gazdasági Programjában, tervezett, elfogadásra váró </w:t>
      </w:r>
      <w:r w:rsidRPr="00CB5053">
        <w:rPr>
          <w:rFonts w:cs="Times New Roman"/>
          <w:u w:val="single"/>
        </w:rPr>
        <w:t>Gazdasági Programjában</w:t>
      </w:r>
      <w:r w:rsidRPr="00CB5053">
        <w:rPr>
          <w:rFonts w:cs="Times New Roman"/>
        </w:rPr>
        <w:t xml:space="preserve"> és költségvetési koncepciójában a szociális rendszer fejlesztésére vonatkozó célok megvalósítását, a foglalkoztatás növelését. A rendeletben foglaltak végrehajtásának gazdasági, költségvetési hatását az előterjesztés részletesen tartalmazza.</w:t>
      </w:r>
    </w:p>
    <w:p w14:paraId="404CC0D8" w14:textId="77777777" w:rsidR="00673BB8" w:rsidRPr="00CB5053" w:rsidRDefault="00673BB8" w:rsidP="00673BB8">
      <w:pPr>
        <w:jc w:val="both"/>
        <w:rPr>
          <w:rFonts w:cs="Times New Roman"/>
        </w:rPr>
      </w:pPr>
    </w:p>
    <w:p w14:paraId="5B8EF4A3" w14:textId="77777777" w:rsidR="00673BB8" w:rsidRPr="00CB5053" w:rsidRDefault="00673BB8" w:rsidP="00673BB8">
      <w:pPr>
        <w:jc w:val="both"/>
        <w:rPr>
          <w:rFonts w:cs="Times New Roman"/>
        </w:rPr>
      </w:pPr>
      <w:r w:rsidRPr="00CB5053">
        <w:rPr>
          <w:rFonts w:cs="Times New Roman"/>
          <w:i/>
        </w:rPr>
        <w:t xml:space="preserve">Környezeti és egészségügyi következmények – </w:t>
      </w:r>
      <w:r w:rsidRPr="00CB5053">
        <w:rPr>
          <w:rFonts w:cs="Times New Roman"/>
        </w:rPr>
        <w:t>A költségvetési rendeletben foglaltak végrehajtása elősegíti az előző Gazdasági Programban és a tervezet Gazdasági Programban meghatározott Környezetvédelmi Program megvalósulását. A költségvetési rendeletben foglaltak végrehajtásának egészségügyi követelményei nincsenek.</w:t>
      </w:r>
    </w:p>
    <w:p w14:paraId="164BE6B6" w14:textId="77777777" w:rsidR="00673BB8" w:rsidRPr="00CB5053" w:rsidRDefault="00673BB8" w:rsidP="00673BB8">
      <w:pPr>
        <w:jc w:val="both"/>
        <w:rPr>
          <w:rFonts w:cs="Times New Roman"/>
        </w:rPr>
      </w:pPr>
    </w:p>
    <w:p w14:paraId="78DE9141" w14:textId="77777777" w:rsidR="00673BB8" w:rsidRPr="00CB5053" w:rsidRDefault="00673BB8" w:rsidP="00673BB8">
      <w:pPr>
        <w:jc w:val="both"/>
        <w:rPr>
          <w:rFonts w:cs="Times New Roman"/>
        </w:rPr>
      </w:pPr>
      <w:r w:rsidRPr="00CB5053">
        <w:rPr>
          <w:rFonts w:cs="Times New Roman"/>
          <w:i/>
        </w:rPr>
        <w:t xml:space="preserve">Adminisztratív </w:t>
      </w:r>
      <w:proofErr w:type="spellStart"/>
      <w:r w:rsidRPr="00CB5053">
        <w:rPr>
          <w:rFonts w:cs="Times New Roman"/>
          <w:i/>
        </w:rPr>
        <w:t>terheket</w:t>
      </w:r>
      <w:proofErr w:type="spellEnd"/>
      <w:r w:rsidRPr="00CB5053">
        <w:rPr>
          <w:rFonts w:cs="Times New Roman"/>
          <w:i/>
        </w:rPr>
        <w:t xml:space="preserve"> befolyásoló hatások – </w:t>
      </w:r>
      <w:r w:rsidRPr="00CB5053">
        <w:rPr>
          <w:rFonts w:cs="Times New Roman"/>
        </w:rPr>
        <w:t xml:space="preserve">A költségvetési rendeletben foglalt pénzügyi,- számviteli és szociális előírások végrehajtása a szakmai, ügyintézési és adminisztratív feladatok végrehajtásában többletfeladatokat jelent a költségvetési szervek számára. </w:t>
      </w:r>
    </w:p>
    <w:p w14:paraId="0D777336" w14:textId="77777777" w:rsidR="00673BB8" w:rsidRPr="00CB5053" w:rsidRDefault="00673BB8" w:rsidP="00673BB8">
      <w:pPr>
        <w:jc w:val="both"/>
        <w:rPr>
          <w:rFonts w:cs="Times New Roman"/>
        </w:rPr>
      </w:pPr>
    </w:p>
    <w:p w14:paraId="3A8B9730" w14:textId="77777777" w:rsidR="00673BB8" w:rsidRPr="00CB5053" w:rsidRDefault="00673BB8" w:rsidP="00673BB8">
      <w:pPr>
        <w:jc w:val="both"/>
        <w:rPr>
          <w:rFonts w:cs="Times New Roman"/>
          <w:b/>
        </w:rPr>
      </w:pPr>
      <w:r w:rsidRPr="00CB5053">
        <w:rPr>
          <w:rFonts w:cs="Times New Roman"/>
          <w:b/>
        </w:rPr>
        <w:t>A jogszabályok megalkotásának szükségessége, a jogalkotás elmaradásának várható következményei</w:t>
      </w:r>
    </w:p>
    <w:p w14:paraId="1833EB99" w14:textId="77777777" w:rsidR="00673BB8" w:rsidRPr="00CB5053" w:rsidRDefault="00673BB8" w:rsidP="00673BB8">
      <w:pPr>
        <w:jc w:val="both"/>
        <w:rPr>
          <w:rFonts w:cs="Times New Roman"/>
        </w:rPr>
      </w:pPr>
    </w:p>
    <w:p w14:paraId="1AE21A49" w14:textId="77777777" w:rsidR="00673BB8" w:rsidRPr="00CB5053" w:rsidRDefault="00673BB8" w:rsidP="00673BB8">
      <w:pPr>
        <w:jc w:val="both"/>
        <w:rPr>
          <w:rFonts w:cs="Times New Roman"/>
        </w:rPr>
      </w:pPr>
      <w:r w:rsidRPr="00CB5053">
        <w:rPr>
          <w:rFonts w:cs="Times New Roman"/>
        </w:rPr>
        <w:t xml:space="preserve">A költségvetési rendelet megalkotását szükségessé teszi az </w:t>
      </w:r>
      <w:proofErr w:type="spellStart"/>
      <w:r w:rsidRPr="00CB5053">
        <w:rPr>
          <w:rFonts w:cs="Times New Roman"/>
          <w:u w:val="single"/>
        </w:rPr>
        <w:t>Mötv</w:t>
      </w:r>
      <w:proofErr w:type="spellEnd"/>
      <w:r w:rsidRPr="00CB5053">
        <w:rPr>
          <w:rFonts w:cs="Times New Roman"/>
        </w:rPr>
        <w:t xml:space="preserve">. és az </w:t>
      </w:r>
      <w:r w:rsidRPr="00CB5053">
        <w:rPr>
          <w:rFonts w:cs="Times New Roman"/>
          <w:u w:val="single"/>
        </w:rPr>
        <w:t>Áht</w:t>
      </w:r>
      <w:r w:rsidRPr="00CB5053">
        <w:rPr>
          <w:rFonts w:cs="Times New Roman"/>
        </w:rPr>
        <w:t xml:space="preserve">. előírásai, melynek elmaradása törvényességi mulasztásnak számít, ami </w:t>
      </w:r>
      <w:r w:rsidRPr="00CB5053">
        <w:rPr>
          <w:rFonts w:cs="Times New Roman"/>
          <w:u w:val="single"/>
        </w:rPr>
        <w:t>támogatás megvonásával jár</w:t>
      </w:r>
      <w:r w:rsidRPr="00CB5053">
        <w:rPr>
          <w:rFonts w:cs="Times New Roman"/>
        </w:rPr>
        <w:t>.</w:t>
      </w:r>
    </w:p>
    <w:p w14:paraId="6F1723DB" w14:textId="77777777" w:rsidR="00673BB8" w:rsidRPr="00CB5053" w:rsidRDefault="00673BB8" w:rsidP="00673BB8">
      <w:pPr>
        <w:jc w:val="both"/>
        <w:rPr>
          <w:rFonts w:cs="Times New Roman"/>
        </w:rPr>
      </w:pPr>
    </w:p>
    <w:p w14:paraId="65C77162" w14:textId="77777777" w:rsidR="00673BB8" w:rsidRPr="00CB5053" w:rsidRDefault="00673BB8" w:rsidP="00673BB8">
      <w:pPr>
        <w:jc w:val="both"/>
        <w:rPr>
          <w:rFonts w:cs="Times New Roman"/>
          <w:b/>
        </w:rPr>
      </w:pPr>
      <w:r w:rsidRPr="00CB5053">
        <w:rPr>
          <w:rFonts w:cs="Times New Roman"/>
          <w:b/>
        </w:rPr>
        <w:t>A jogszabály alkalmazásához szükséges személyi, szervezeti, tárgyi és pénzügyi feltételek</w:t>
      </w:r>
    </w:p>
    <w:p w14:paraId="2F559AF0" w14:textId="77777777" w:rsidR="00673BB8" w:rsidRPr="00CB5053" w:rsidRDefault="00673BB8" w:rsidP="00673BB8">
      <w:pPr>
        <w:jc w:val="both"/>
        <w:rPr>
          <w:rFonts w:cs="Times New Roman"/>
        </w:rPr>
      </w:pPr>
      <w:r w:rsidRPr="00CB5053">
        <w:rPr>
          <w:rFonts w:cs="Times New Roman"/>
        </w:rPr>
        <w:t xml:space="preserve"> </w:t>
      </w:r>
    </w:p>
    <w:p w14:paraId="31673FFA" w14:textId="1E623823" w:rsidR="00673BB8" w:rsidRPr="00CB5053" w:rsidRDefault="00673BB8" w:rsidP="00673BB8">
      <w:pPr>
        <w:jc w:val="both"/>
        <w:rPr>
          <w:rFonts w:cs="Times New Roman"/>
        </w:rPr>
      </w:pPr>
      <w:r w:rsidRPr="00CB5053">
        <w:rPr>
          <w:rFonts w:cs="Times New Roman"/>
        </w:rPr>
        <w:t xml:space="preserve">A költségvetési rendelet alkalmazásához szükséges személyi, tárgyi, szervezeti és pénzügyi feltételek rendelkezésre állnak. A rendelet-tervezet elkészítésénél figyelembe vettük a </w:t>
      </w:r>
      <w:r w:rsidRPr="00CB5053">
        <w:rPr>
          <w:rFonts w:cs="Times New Roman"/>
          <w:u w:val="single"/>
        </w:rPr>
        <w:t>jogszabályszerkesztésről szóló 61/2009. (XII.14.) IRM rendelet</w:t>
      </w:r>
      <w:r w:rsidRPr="00CB5053">
        <w:rPr>
          <w:rFonts w:cs="Times New Roman"/>
        </w:rPr>
        <w:t xml:space="preserve"> előírásait. </w:t>
      </w:r>
    </w:p>
    <w:p w14:paraId="610E292B" w14:textId="77777777" w:rsidR="00673BB8" w:rsidRPr="00CB5053" w:rsidRDefault="00673BB8" w:rsidP="00673BB8">
      <w:pPr>
        <w:jc w:val="both"/>
        <w:rPr>
          <w:rFonts w:cs="Times New Roman"/>
        </w:rPr>
      </w:pPr>
    </w:p>
    <w:p w14:paraId="774E3E2B" w14:textId="32497263" w:rsidR="00673BB8" w:rsidRPr="00CB5053" w:rsidRDefault="00673BB8" w:rsidP="00673BB8">
      <w:pPr>
        <w:jc w:val="both"/>
        <w:rPr>
          <w:rFonts w:cs="Times New Roman"/>
          <w:b/>
        </w:rPr>
      </w:pPr>
      <w:r w:rsidRPr="00CB5053">
        <w:rPr>
          <w:rFonts w:cs="Times New Roman"/>
          <w:b/>
        </w:rPr>
        <w:t>Tisztelettel kérem a Képviselő-testületet, hogy a 2025. évi költségvetésre vonatkozó előterjesztésemet véleményezni és a rendelet-alkotási és határozati javaslatomat támogatni szíveskedjen!</w:t>
      </w:r>
    </w:p>
    <w:p w14:paraId="0FB3F8E0" w14:textId="77777777" w:rsidR="00673BB8" w:rsidRPr="00CB5053" w:rsidRDefault="00673BB8" w:rsidP="00673BB8">
      <w:pPr>
        <w:jc w:val="both"/>
        <w:rPr>
          <w:rFonts w:cs="Times New Roman"/>
          <w:b/>
        </w:rPr>
      </w:pPr>
    </w:p>
    <w:p w14:paraId="289BCFBE" w14:textId="77777777" w:rsidR="00673BB8" w:rsidRPr="00CB5053" w:rsidRDefault="00673BB8" w:rsidP="00673BB8">
      <w:pPr>
        <w:pStyle w:val="Nincstrkz"/>
        <w:pBdr>
          <w:top w:val="single" w:sz="4" w:space="1" w:color="00220F"/>
          <w:left w:val="single" w:sz="4" w:space="4" w:color="00220F"/>
          <w:bottom w:val="single" w:sz="4" w:space="1" w:color="00220F"/>
          <w:right w:val="single" w:sz="4" w:space="4" w:color="00220F"/>
        </w:pBdr>
        <w:jc w:val="center"/>
        <w:rPr>
          <w:rFonts w:ascii="Times New Roman" w:hAnsi="Times New Roman" w:cs="Times New Roman"/>
          <w:sz w:val="24"/>
          <w:szCs w:val="24"/>
        </w:rPr>
      </w:pPr>
      <w:r w:rsidRPr="00CB5053">
        <w:rPr>
          <w:rFonts w:ascii="Times New Roman" w:hAnsi="Times New Roman" w:cs="Times New Roman"/>
          <w:sz w:val="24"/>
          <w:szCs w:val="24"/>
        </w:rPr>
        <w:t>DÖNTÉSI JAVASLAT (TESTÜLET)</w:t>
      </w:r>
    </w:p>
    <w:p w14:paraId="7C7D6A23" w14:textId="77777777" w:rsidR="00673BB8" w:rsidRPr="00CB5053" w:rsidRDefault="00673BB8" w:rsidP="00673BB8">
      <w:pPr>
        <w:pStyle w:val="Nincstrkz"/>
        <w:jc w:val="both"/>
        <w:rPr>
          <w:rFonts w:ascii="Times New Roman" w:hAnsi="Times New Roman" w:cs="Times New Roman"/>
          <w:sz w:val="24"/>
          <w:szCs w:val="24"/>
        </w:rPr>
      </w:pPr>
    </w:p>
    <w:p w14:paraId="725DB0CE" w14:textId="77777777" w:rsidR="00673BB8" w:rsidRPr="00CB5053" w:rsidRDefault="00673BB8" w:rsidP="00673BB8">
      <w:pPr>
        <w:jc w:val="center"/>
        <w:rPr>
          <w:rFonts w:cs="Times New Roman"/>
          <w:b/>
        </w:rPr>
      </w:pPr>
      <w:r w:rsidRPr="00CB5053">
        <w:rPr>
          <w:rFonts w:cs="Times New Roman"/>
          <w:b/>
        </w:rPr>
        <w:t xml:space="preserve">Határozati javaslat </w:t>
      </w:r>
    </w:p>
    <w:p w14:paraId="0F54C4DA" w14:textId="77777777" w:rsidR="00673BB8" w:rsidRPr="00CB5053" w:rsidRDefault="00673BB8" w:rsidP="00673BB8">
      <w:pPr>
        <w:jc w:val="center"/>
        <w:rPr>
          <w:rFonts w:cs="Times New Roman"/>
        </w:rPr>
      </w:pPr>
      <w:r w:rsidRPr="00CB5053">
        <w:rPr>
          <w:rFonts w:cs="Times New Roman"/>
        </w:rPr>
        <w:t>A Képviselő-testület .../2025. (...) sz. határozata</w:t>
      </w:r>
    </w:p>
    <w:p w14:paraId="421095F8" w14:textId="77777777" w:rsidR="00673BB8" w:rsidRPr="00CB5053" w:rsidRDefault="00673BB8" w:rsidP="00673BB8">
      <w:pPr>
        <w:jc w:val="center"/>
        <w:rPr>
          <w:rFonts w:cs="Times New Roman"/>
        </w:rPr>
      </w:pPr>
      <w:r w:rsidRPr="00CB5053">
        <w:rPr>
          <w:rFonts w:cs="Times New Roman"/>
        </w:rPr>
        <w:t>saját bevételek, valamint az adósságot keletkeztető ügyletekből eredő fizetési kötelezettségeinek a költségvetési évet követő három évre várható összegére vonatkozóan</w:t>
      </w:r>
    </w:p>
    <w:p w14:paraId="11561C78" w14:textId="77777777" w:rsidR="00673BB8" w:rsidRPr="00CB5053" w:rsidRDefault="00673BB8" w:rsidP="00673BB8">
      <w:pPr>
        <w:jc w:val="both"/>
        <w:rPr>
          <w:rFonts w:cs="Times New Roman"/>
        </w:rPr>
      </w:pPr>
    </w:p>
    <w:p w14:paraId="2F8EE51C" w14:textId="23CBCD32" w:rsidR="00673BB8" w:rsidRPr="00CB5053" w:rsidRDefault="00CC4C46" w:rsidP="00673BB8">
      <w:pPr>
        <w:pStyle w:val="Nincstrkz"/>
        <w:jc w:val="both"/>
        <w:rPr>
          <w:rFonts w:ascii="Times New Roman" w:hAnsi="Times New Roman" w:cs="Times New Roman"/>
          <w:sz w:val="24"/>
          <w:szCs w:val="24"/>
        </w:rPr>
      </w:pPr>
      <w:r w:rsidRPr="00CB5053">
        <w:rPr>
          <w:rFonts w:ascii="Times New Roman" w:hAnsi="Times New Roman" w:cs="Times New Roman"/>
          <w:sz w:val="24"/>
          <w:szCs w:val="24"/>
        </w:rPr>
        <w:t>Zebegény</w:t>
      </w:r>
      <w:r w:rsidR="00673BB8" w:rsidRPr="00CB5053">
        <w:rPr>
          <w:rFonts w:ascii="Times New Roman" w:hAnsi="Times New Roman" w:cs="Times New Roman"/>
          <w:sz w:val="24"/>
          <w:szCs w:val="24"/>
        </w:rPr>
        <w:t xml:space="preserve"> Község Önkormányzatának Képviselő-testülete az államháztartásról szóló 2011. évi CXCV. törvény 29/A. §-</w:t>
      </w:r>
      <w:proofErr w:type="spellStart"/>
      <w:r w:rsidR="00673BB8" w:rsidRPr="00CB5053">
        <w:rPr>
          <w:rFonts w:ascii="Times New Roman" w:hAnsi="Times New Roman" w:cs="Times New Roman"/>
          <w:sz w:val="24"/>
          <w:szCs w:val="24"/>
        </w:rPr>
        <w:t>ában</w:t>
      </w:r>
      <w:proofErr w:type="spellEnd"/>
      <w:r w:rsidR="00673BB8" w:rsidRPr="00CB5053">
        <w:rPr>
          <w:rFonts w:ascii="Times New Roman" w:hAnsi="Times New Roman" w:cs="Times New Roman"/>
          <w:sz w:val="24"/>
          <w:szCs w:val="24"/>
        </w:rPr>
        <w:t xml:space="preserve"> szabályozott középtávú tervezés részeként az önkormányzat és intézményei 2025. évi költségvetésének tervezéséhez Magyarország gazdasági stabilitásáról szóló 2011. évi CXCIV. törvény, valamint az adósságot keletkeztető ügyletekhez történő hozzájárulás részletes szabályairól szóló 353/2011. (XII.30.) Korm.rendelet szabályozására figyelemmel </w:t>
      </w:r>
      <w:r w:rsidRPr="00CB5053">
        <w:rPr>
          <w:rFonts w:ascii="Times New Roman" w:hAnsi="Times New Roman" w:cs="Times New Roman"/>
          <w:sz w:val="24"/>
          <w:szCs w:val="24"/>
        </w:rPr>
        <w:t>Zebegény</w:t>
      </w:r>
      <w:r w:rsidR="00673BB8" w:rsidRPr="00CB5053">
        <w:rPr>
          <w:rFonts w:ascii="Times New Roman" w:hAnsi="Times New Roman" w:cs="Times New Roman"/>
          <w:sz w:val="24"/>
          <w:szCs w:val="24"/>
        </w:rPr>
        <w:t xml:space="preserve"> Község Önkormányzatának saját bevételeit, valamint az adósságot keletkeztető ügyleteiből eredő fizetési kötelezettségeinek a költségvetési évet követő három évre várható összegéről a költségvetési pénzügyi kitekintő adatokat a határozat 1. sz. melléklete szerinti tartalommal határozza meg.</w:t>
      </w:r>
    </w:p>
    <w:p w14:paraId="17F841E2" w14:textId="77777777" w:rsidR="00673BB8" w:rsidRPr="00CB5053" w:rsidRDefault="00673BB8" w:rsidP="00673BB8">
      <w:pPr>
        <w:pStyle w:val="Nincstrkz"/>
        <w:jc w:val="both"/>
        <w:rPr>
          <w:rFonts w:ascii="Times New Roman" w:hAnsi="Times New Roman" w:cs="Times New Roman"/>
          <w:sz w:val="24"/>
          <w:szCs w:val="24"/>
        </w:rPr>
      </w:pPr>
    </w:p>
    <w:p w14:paraId="2A04455B" w14:textId="77777777" w:rsidR="00673BB8" w:rsidRPr="00CB5053" w:rsidRDefault="00673BB8" w:rsidP="00673BB8">
      <w:pPr>
        <w:pStyle w:val="Nincstrkz"/>
        <w:jc w:val="both"/>
        <w:rPr>
          <w:rFonts w:ascii="Times New Roman" w:hAnsi="Times New Roman" w:cs="Times New Roman"/>
          <w:sz w:val="24"/>
          <w:szCs w:val="24"/>
        </w:rPr>
      </w:pPr>
      <w:r w:rsidRPr="00CB5053">
        <w:rPr>
          <w:rFonts w:ascii="Times New Roman" w:hAnsi="Times New Roman" w:cs="Times New Roman"/>
          <w:b/>
          <w:sz w:val="24"/>
          <w:szCs w:val="24"/>
        </w:rPr>
        <w:t>Felelős:</w:t>
      </w:r>
      <w:r w:rsidRPr="00CB5053">
        <w:rPr>
          <w:rFonts w:ascii="Times New Roman" w:hAnsi="Times New Roman" w:cs="Times New Roman"/>
          <w:sz w:val="24"/>
          <w:szCs w:val="24"/>
        </w:rPr>
        <w:t xml:space="preserve"> polgármester</w:t>
      </w:r>
    </w:p>
    <w:p w14:paraId="00E58E20" w14:textId="77777777" w:rsidR="00673BB8" w:rsidRPr="00CB5053" w:rsidRDefault="00673BB8" w:rsidP="00673BB8">
      <w:pPr>
        <w:pStyle w:val="Nincstrkz"/>
        <w:jc w:val="both"/>
        <w:rPr>
          <w:rFonts w:ascii="Times New Roman" w:hAnsi="Times New Roman" w:cs="Times New Roman"/>
          <w:sz w:val="24"/>
          <w:szCs w:val="24"/>
        </w:rPr>
      </w:pPr>
      <w:r w:rsidRPr="00CB5053">
        <w:rPr>
          <w:rFonts w:ascii="Times New Roman" w:hAnsi="Times New Roman" w:cs="Times New Roman"/>
          <w:b/>
          <w:sz w:val="24"/>
          <w:szCs w:val="24"/>
        </w:rPr>
        <w:t>Határidő:</w:t>
      </w:r>
      <w:r w:rsidRPr="00CB5053">
        <w:rPr>
          <w:rFonts w:ascii="Times New Roman" w:hAnsi="Times New Roman" w:cs="Times New Roman"/>
          <w:sz w:val="24"/>
          <w:szCs w:val="24"/>
        </w:rPr>
        <w:t xml:space="preserve"> 2025.03.15.</w:t>
      </w:r>
    </w:p>
    <w:p w14:paraId="018A21D8" w14:textId="77777777" w:rsidR="00673BB8" w:rsidRPr="00CB5053" w:rsidRDefault="00673BB8" w:rsidP="00673BB8">
      <w:pPr>
        <w:pStyle w:val="Nincstrkz"/>
        <w:jc w:val="both"/>
        <w:rPr>
          <w:rFonts w:ascii="Times New Roman" w:hAnsi="Times New Roman" w:cs="Times New Roman"/>
          <w:sz w:val="24"/>
          <w:szCs w:val="24"/>
        </w:rPr>
      </w:pPr>
    </w:p>
    <w:p w14:paraId="2B410222" w14:textId="77777777" w:rsidR="00673BB8" w:rsidRPr="00CB5053" w:rsidRDefault="00673BB8" w:rsidP="00673BB8">
      <w:pPr>
        <w:pStyle w:val="Nincstrkz"/>
        <w:jc w:val="both"/>
        <w:rPr>
          <w:rFonts w:ascii="Times New Roman" w:hAnsi="Times New Roman" w:cs="Times New Roman"/>
          <w:sz w:val="24"/>
          <w:szCs w:val="24"/>
        </w:rPr>
      </w:pPr>
    </w:p>
    <w:p w14:paraId="77FBAD32" w14:textId="77777777" w:rsidR="00673BB8" w:rsidRPr="00CB5053" w:rsidRDefault="00673BB8" w:rsidP="00673BB8">
      <w:pPr>
        <w:pStyle w:val="Nincstrkz"/>
        <w:jc w:val="center"/>
        <w:rPr>
          <w:rFonts w:ascii="Times New Roman" w:hAnsi="Times New Roman" w:cs="Times New Roman"/>
          <w:sz w:val="24"/>
          <w:szCs w:val="24"/>
        </w:rPr>
      </w:pPr>
      <w:r w:rsidRPr="00CB5053">
        <w:rPr>
          <w:rFonts w:ascii="Times New Roman" w:hAnsi="Times New Roman" w:cs="Times New Roman"/>
          <w:sz w:val="24"/>
          <w:szCs w:val="24"/>
        </w:rPr>
        <w:br w:type="page"/>
      </w:r>
    </w:p>
    <w:p w14:paraId="0D305CBA" w14:textId="77777777" w:rsidR="00673BB8" w:rsidRPr="00CB5053" w:rsidRDefault="00673BB8" w:rsidP="00673BB8">
      <w:pPr>
        <w:pStyle w:val="Nincstrkz"/>
        <w:jc w:val="center"/>
        <w:rPr>
          <w:rFonts w:ascii="Times New Roman" w:hAnsi="Times New Roman" w:cs="Times New Roman"/>
          <w:b/>
          <w:sz w:val="24"/>
          <w:szCs w:val="24"/>
        </w:rPr>
      </w:pPr>
      <w:r w:rsidRPr="00CB5053">
        <w:rPr>
          <w:rFonts w:ascii="Times New Roman" w:hAnsi="Times New Roman" w:cs="Times New Roman"/>
          <w:b/>
          <w:sz w:val="24"/>
          <w:szCs w:val="24"/>
        </w:rPr>
        <w:lastRenderedPageBreak/>
        <w:t>Határozat melléklete</w:t>
      </w:r>
    </w:p>
    <w:p w14:paraId="136209B0" w14:textId="77777777" w:rsidR="00673BB8" w:rsidRPr="00CB5053" w:rsidRDefault="00673BB8" w:rsidP="00673BB8">
      <w:pPr>
        <w:pStyle w:val="Nincstrkz"/>
        <w:jc w:val="center"/>
        <w:rPr>
          <w:rFonts w:ascii="Times New Roman" w:hAnsi="Times New Roman" w:cs="Times New Roman"/>
          <w:b/>
          <w:sz w:val="24"/>
          <w:szCs w:val="24"/>
        </w:rPr>
      </w:pPr>
      <w:r w:rsidRPr="00CB5053">
        <w:rPr>
          <w:rFonts w:ascii="Times New Roman" w:hAnsi="Times New Roman" w:cs="Times New Roman"/>
          <w:b/>
          <w:sz w:val="24"/>
          <w:szCs w:val="24"/>
        </w:rPr>
        <w:t>Költségvetési kitekintő határozat 2025-2028. évekre</w:t>
      </w:r>
    </w:p>
    <w:p w14:paraId="331A6EAB" w14:textId="77777777" w:rsidR="00673BB8" w:rsidRPr="00CB5053" w:rsidRDefault="00673BB8" w:rsidP="00673BB8">
      <w:pPr>
        <w:pStyle w:val="Nincstrkz"/>
        <w:jc w:val="center"/>
        <w:rPr>
          <w:rFonts w:ascii="Times New Roman" w:hAnsi="Times New Roman" w:cs="Times New Roman"/>
          <w:sz w:val="24"/>
          <w:szCs w:val="24"/>
        </w:rPr>
      </w:pPr>
      <w:r w:rsidRPr="00CB5053">
        <w:rPr>
          <w:rFonts w:ascii="Times New Roman" w:hAnsi="Times New Roman" w:cs="Times New Roman"/>
          <w:sz w:val="24"/>
          <w:szCs w:val="24"/>
        </w:rPr>
        <w:t>adatok forintban</w:t>
      </w:r>
    </w:p>
    <w:p w14:paraId="181465C6" w14:textId="77777777" w:rsidR="00673BB8" w:rsidRPr="00CB5053" w:rsidRDefault="00673BB8" w:rsidP="00673BB8">
      <w:pPr>
        <w:pStyle w:val="Nincstrkz"/>
        <w:jc w:val="both"/>
        <w:rPr>
          <w:rFonts w:ascii="Times New Roman" w:hAnsi="Times New Roman" w:cs="Times New Roman"/>
          <w:sz w:val="24"/>
          <w:szCs w:val="24"/>
        </w:rPr>
      </w:pPr>
    </w:p>
    <w:tbl>
      <w:tblPr>
        <w:tblW w:w="9464" w:type="dxa"/>
        <w:jc w:val="center"/>
        <w:tblCellMar>
          <w:left w:w="70" w:type="dxa"/>
          <w:right w:w="70" w:type="dxa"/>
        </w:tblCellMar>
        <w:tblLook w:val="04A0" w:firstRow="1" w:lastRow="0" w:firstColumn="1" w:lastColumn="0" w:noHBand="0" w:noVBand="1"/>
      </w:tblPr>
      <w:tblGrid>
        <w:gridCol w:w="567"/>
        <w:gridCol w:w="2817"/>
        <w:gridCol w:w="1520"/>
        <w:gridCol w:w="1520"/>
        <w:gridCol w:w="1520"/>
        <w:gridCol w:w="1520"/>
      </w:tblGrid>
      <w:tr w:rsidR="00673BB8" w:rsidRPr="00CB5053" w14:paraId="22D6690C" w14:textId="77777777" w:rsidTr="002D2EB8">
        <w:trPr>
          <w:trHeight w:val="315"/>
          <w:jc w:val="center"/>
        </w:trPr>
        <w:tc>
          <w:tcPr>
            <w:tcW w:w="567"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113A0" w14:textId="77777777" w:rsidR="00673BB8" w:rsidRPr="00CB5053" w:rsidRDefault="00673BB8" w:rsidP="002D2EB8">
            <w:pPr>
              <w:jc w:val="center"/>
              <w:rPr>
                <w:rFonts w:cs="Times New Roman"/>
              </w:rPr>
            </w:pPr>
            <w:r w:rsidRPr="00CB5053">
              <w:rPr>
                <w:rFonts w:cs="Times New Roman"/>
                <w:bCs/>
              </w:rPr>
              <w:t> </w:t>
            </w:r>
          </w:p>
        </w:tc>
        <w:tc>
          <w:tcPr>
            <w:tcW w:w="2817" w:type="dxa"/>
            <w:tcBorders>
              <w:top w:val="single" w:sz="4" w:space="0" w:color="808080"/>
              <w:left w:val="nil"/>
              <w:bottom w:val="single" w:sz="4" w:space="0" w:color="808080"/>
              <w:right w:val="single" w:sz="4" w:space="0" w:color="808080"/>
            </w:tcBorders>
            <w:shd w:val="clear" w:color="auto" w:fill="auto"/>
            <w:vAlign w:val="center"/>
            <w:hideMark/>
          </w:tcPr>
          <w:p w14:paraId="15AAD1E5" w14:textId="77777777" w:rsidR="00673BB8" w:rsidRPr="00CB5053" w:rsidRDefault="00673BB8" w:rsidP="002D2EB8">
            <w:pPr>
              <w:jc w:val="center"/>
              <w:rPr>
                <w:rFonts w:cs="Times New Roman"/>
              </w:rPr>
            </w:pPr>
            <w:r w:rsidRPr="00CB5053">
              <w:rPr>
                <w:rFonts w:cs="Times New Roman"/>
                <w:bCs/>
              </w:rPr>
              <w:t>A</w:t>
            </w:r>
          </w:p>
        </w:tc>
        <w:tc>
          <w:tcPr>
            <w:tcW w:w="1520" w:type="dxa"/>
            <w:tcBorders>
              <w:top w:val="single" w:sz="4" w:space="0" w:color="808080"/>
              <w:left w:val="nil"/>
              <w:bottom w:val="single" w:sz="4" w:space="0" w:color="808080"/>
              <w:right w:val="single" w:sz="4" w:space="0" w:color="808080"/>
            </w:tcBorders>
            <w:shd w:val="clear" w:color="auto" w:fill="auto"/>
            <w:vAlign w:val="center"/>
            <w:hideMark/>
          </w:tcPr>
          <w:p w14:paraId="5542FFD4" w14:textId="77777777" w:rsidR="00673BB8" w:rsidRPr="00CB5053" w:rsidRDefault="00673BB8" w:rsidP="002D2EB8">
            <w:pPr>
              <w:jc w:val="center"/>
              <w:rPr>
                <w:rFonts w:cs="Times New Roman"/>
              </w:rPr>
            </w:pPr>
            <w:r w:rsidRPr="00CB5053">
              <w:rPr>
                <w:rFonts w:cs="Times New Roman"/>
                <w:bCs/>
              </w:rPr>
              <w:t>B</w:t>
            </w:r>
          </w:p>
        </w:tc>
        <w:tc>
          <w:tcPr>
            <w:tcW w:w="1520" w:type="dxa"/>
            <w:tcBorders>
              <w:top w:val="single" w:sz="4" w:space="0" w:color="808080"/>
              <w:left w:val="nil"/>
              <w:bottom w:val="single" w:sz="4" w:space="0" w:color="808080"/>
              <w:right w:val="single" w:sz="4" w:space="0" w:color="808080"/>
            </w:tcBorders>
            <w:shd w:val="clear" w:color="auto" w:fill="auto"/>
            <w:vAlign w:val="center"/>
            <w:hideMark/>
          </w:tcPr>
          <w:p w14:paraId="065D465B" w14:textId="77777777" w:rsidR="00673BB8" w:rsidRPr="00CB5053" w:rsidRDefault="00673BB8" w:rsidP="002D2EB8">
            <w:pPr>
              <w:jc w:val="center"/>
              <w:rPr>
                <w:rFonts w:cs="Times New Roman"/>
              </w:rPr>
            </w:pPr>
            <w:r w:rsidRPr="00CB5053">
              <w:rPr>
                <w:rFonts w:cs="Times New Roman"/>
                <w:bCs/>
              </w:rPr>
              <w:t>C</w:t>
            </w:r>
          </w:p>
        </w:tc>
        <w:tc>
          <w:tcPr>
            <w:tcW w:w="1520" w:type="dxa"/>
            <w:tcBorders>
              <w:top w:val="single" w:sz="4" w:space="0" w:color="808080"/>
              <w:left w:val="nil"/>
              <w:bottom w:val="single" w:sz="4" w:space="0" w:color="808080"/>
              <w:right w:val="single" w:sz="4" w:space="0" w:color="808080"/>
            </w:tcBorders>
            <w:shd w:val="clear" w:color="auto" w:fill="auto"/>
            <w:vAlign w:val="center"/>
            <w:hideMark/>
          </w:tcPr>
          <w:p w14:paraId="4360B879" w14:textId="77777777" w:rsidR="00673BB8" w:rsidRPr="00CB5053" w:rsidRDefault="00673BB8" w:rsidP="002D2EB8">
            <w:pPr>
              <w:jc w:val="center"/>
              <w:rPr>
                <w:rFonts w:cs="Times New Roman"/>
              </w:rPr>
            </w:pPr>
            <w:r w:rsidRPr="00CB5053">
              <w:rPr>
                <w:rFonts w:cs="Times New Roman"/>
                <w:bCs/>
              </w:rPr>
              <w:t>D</w:t>
            </w:r>
          </w:p>
        </w:tc>
        <w:tc>
          <w:tcPr>
            <w:tcW w:w="1520" w:type="dxa"/>
            <w:tcBorders>
              <w:top w:val="single" w:sz="4" w:space="0" w:color="808080"/>
              <w:left w:val="nil"/>
              <w:bottom w:val="single" w:sz="4" w:space="0" w:color="808080"/>
              <w:right w:val="single" w:sz="4" w:space="0" w:color="808080"/>
            </w:tcBorders>
            <w:shd w:val="clear" w:color="auto" w:fill="auto"/>
            <w:vAlign w:val="center"/>
            <w:hideMark/>
          </w:tcPr>
          <w:p w14:paraId="7091C243" w14:textId="77777777" w:rsidR="00673BB8" w:rsidRPr="00CB5053" w:rsidRDefault="00673BB8" w:rsidP="002D2EB8">
            <w:pPr>
              <w:jc w:val="center"/>
              <w:rPr>
                <w:rFonts w:cs="Times New Roman"/>
              </w:rPr>
            </w:pPr>
            <w:r w:rsidRPr="00CB5053">
              <w:rPr>
                <w:rFonts w:cs="Times New Roman"/>
                <w:bCs/>
              </w:rPr>
              <w:t>E</w:t>
            </w:r>
          </w:p>
        </w:tc>
      </w:tr>
      <w:tr w:rsidR="00673BB8" w:rsidRPr="00CB5053" w14:paraId="55770B07" w14:textId="77777777" w:rsidTr="002D2EB8">
        <w:trPr>
          <w:trHeigh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1688A9A2" w14:textId="77777777" w:rsidR="00673BB8" w:rsidRPr="00CB5053" w:rsidRDefault="00673BB8" w:rsidP="002D2EB8">
            <w:pPr>
              <w:jc w:val="center"/>
              <w:rPr>
                <w:rFonts w:cs="Times New Roman"/>
              </w:rPr>
            </w:pPr>
            <w:r w:rsidRPr="00CB5053">
              <w:rPr>
                <w:rFonts w:cs="Times New Roman"/>
              </w:rPr>
              <w:t>1</w:t>
            </w:r>
          </w:p>
        </w:tc>
        <w:tc>
          <w:tcPr>
            <w:tcW w:w="2817" w:type="dxa"/>
            <w:tcBorders>
              <w:top w:val="nil"/>
              <w:left w:val="nil"/>
              <w:bottom w:val="single" w:sz="4" w:space="0" w:color="808080"/>
              <w:right w:val="single" w:sz="4" w:space="0" w:color="808080"/>
            </w:tcBorders>
            <w:shd w:val="clear" w:color="auto" w:fill="auto"/>
            <w:vAlign w:val="center"/>
            <w:hideMark/>
          </w:tcPr>
          <w:p w14:paraId="13E06F24" w14:textId="77777777" w:rsidR="00673BB8" w:rsidRPr="00CB5053" w:rsidRDefault="00673BB8" w:rsidP="002D2EB8">
            <w:pPr>
              <w:jc w:val="center"/>
              <w:rPr>
                <w:rFonts w:cs="Times New Roman"/>
                <w:b/>
                <w:bCs/>
              </w:rPr>
            </w:pPr>
            <w:r w:rsidRPr="00CB5053">
              <w:rPr>
                <w:rFonts w:cs="Times New Roman"/>
                <w:b/>
                <w:bCs/>
              </w:rPr>
              <w:t>Bevételek</w:t>
            </w:r>
          </w:p>
        </w:tc>
        <w:tc>
          <w:tcPr>
            <w:tcW w:w="1520" w:type="dxa"/>
            <w:tcBorders>
              <w:top w:val="nil"/>
              <w:left w:val="nil"/>
              <w:bottom w:val="single" w:sz="4" w:space="0" w:color="808080"/>
              <w:right w:val="single" w:sz="4" w:space="0" w:color="808080"/>
            </w:tcBorders>
            <w:shd w:val="clear" w:color="auto" w:fill="auto"/>
            <w:vAlign w:val="center"/>
            <w:hideMark/>
          </w:tcPr>
          <w:p w14:paraId="24146FE7" w14:textId="77777777" w:rsidR="00673BB8" w:rsidRPr="00CB5053" w:rsidRDefault="00673BB8" w:rsidP="002D2EB8">
            <w:pPr>
              <w:jc w:val="center"/>
              <w:rPr>
                <w:rFonts w:cs="Times New Roman"/>
                <w:b/>
                <w:bCs/>
              </w:rPr>
            </w:pPr>
            <w:r w:rsidRPr="00CB5053">
              <w:rPr>
                <w:rFonts w:cs="Times New Roman"/>
                <w:b/>
                <w:bCs/>
              </w:rPr>
              <w:t>2025.</w:t>
            </w:r>
          </w:p>
        </w:tc>
        <w:tc>
          <w:tcPr>
            <w:tcW w:w="1520" w:type="dxa"/>
            <w:tcBorders>
              <w:top w:val="nil"/>
              <w:left w:val="nil"/>
              <w:bottom w:val="single" w:sz="4" w:space="0" w:color="808080"/>
              <w:right w:val="single" w:sz="4" w:space="0" w:color="808080"/>
            </w:tcBorders>
            <w:shd w:val="clear" w:color="auto" w:fill="auto"/>
            <w:vAlign w:val="center"/>
            <w:hideMark/>
          </w:tcPr>
          <w:p w14:paraId="3F15B0C2" w14:textId="77777777" w:rsidR="00673BB8" w:rsidRPr="00CB5053" w:rsidRDefault="00673BB8" w:rsidP="002D2EB8">
            <w:pPr>
              <w:jc w:val="center"/>
              <w:rPr>
                <w:rFonts w:cs="Times New Roman"/>
                <w:b/>
                <w:bCs/>
              </w:rPr>
            </w:pPr>
            <w:r w:rsidRPr="00CB5053">
              <w:rPr>
                <w:rFonts w:cs="Times New Roman"/>
                <w:b/>
                <w:bCs/>
              </w:rPr>
              <w:t>2026.</w:t>
            </w:r>
          </w:p>
        </w:tc>
        <w:tc>
          <w:tcPr>
            <w:tcW w:w="1520" w:type="dxa"/>
            <w:tcBorders>
              <w:top w:val="nil"/>
              <w:left w:val="nil"/>
              <w:bottom w:val="single" w:sz="4" w:space="0" w:color="808080"/>
              <w:right w:val="single" w:sz="4" w:space="0" w:color="808080"/>
            </w:tcBorders>
            <w:shd w:val="clear" w:color="auto" w:fill="auto"/>
            <w:vAlign w:val="center"/>
            <w:hideMark/>
          </w:tcPr>
          <w:p w14:paraId="3E2AD306" w14:textId="77777777" w:rsidR="00673BB8" w:rsidRPr="00CB5053" w:rsidRDefault="00673BB8" w:rsidP="002D2EB8">
            <w:pPr>
              <w:jc w:val="center"/>
              <w:rPr>
                <w:rFonts w:cs="Times New Roman"/>
                <w:b/>
                <w:bCs/>
              </w:rPr>
            </w:pPr>
            <w:r w:rsidRPr="00CB5053">
              <w:rPr>
                <w:rFonts w:cs="Times New Roman"/>
                <w:b/>
                <w:bCs/>
              </w:rPr>
              <w:t>2027.</w:t>
            </w:r>
          </w:p>
        </w:tc>
        <w:tc>
          <w:tcPr>
            <w:tcW w:w="1520" w:type="dxa"/>
            <w:tcBorders>
              <w:top w:val="nil"/>
              <w:left w:val="nil"/>
              <w:bottom w:val="single" w:sz="4" w:space="0" w:color="808080"/>
              <w:right w:val="single" w:sz="4" w:space="0" w:color="808080"/>
            </w:tcBorders>
            <w:shd w:val="clear" w:color="auto" w:fill="auto"/>
            <w:vAlign w:val="center"/>
            <w:hideMark/>
          </w:tcPr>
          <w:p w14:paraId="0BEE7123" w14:textId="77777777" w:rsidR="00673BB8" w:rsidRPr="00CB5053" w:rsidRDefault="00673BB8" w:rsidP="002D2EB8">
            <w:pPr>
              <w:jc w:val="center"/>
              <w:rPr>
                <w:rFonts w:cs="Times New Roman"/>
                <w:b/>
                <w:bCs/>
              </w:rPr>
            </w:pPr>
            <w:r w:rsidRPr="00CB5053">
              <w:rPr>
                <w:rFonts w:cs="Times New Roman"/>
                <w:b/>
                <w:bCs/>
              </w:rPr>
              <w:t>2028.</w:t>
            </w:r>
          </w:p>
        </w:tc>
      </w:tr>
      <w:tr w:rsidR="00673BB8" w:rsidRPr="00CB5053" w14:paraId="5A9FF559" w14:textId="77777777" w:rsidTr="002D2EB8">
        <w:trPr>
          <w:trHeight w:hRule="exact" w:val="1168"/>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52EEF80A" w14:textId="77777777" w:rsidR="00673BB8" w:rsidRPr="00CB5053" w:rsidRDefault="00673BB8" w:rsidP="002D2EB8">
            <w:pPr>
              <w:jc w:val="center"/>
              <w:rPr>
                <w:rFonts w:cs="Times New Roman"/>
              </w:rPr>
            </w:pPr>
            <w:r w:rsidRPr="00CB5053">
              <w:rPr>
                <w:rFonts w:cs="Times New Roman"/>
              </w:rPr>
              <w:t>2</w:t>
            </w:r>
          </w:p>
        </w:tc>
        <w:tc>
          <w:tcPr>
            <w:tcW w:w="2817" w:type="dxa"/>
            <w:tcBorders>
              <w:top w:val="nil"/>
              <w:left w:val="nil"/>
              <w:bottom w:val="single" w:sz="4" w:space="0" w:color="808080"/>
              <w:right w:val="single" w:sz="4" w:space="0" w:color="808080"/>
            </w:tcBorders>
            <w:shd w:val="clear" w:color="auto" w:fill="auto"/>
            <w:vAlign w:val="center"/>
            <w:hideMark/>
          </w:tcPr>
          <w:p w14:paraId="34AE7213" w14:textId="77777777" w:rsidR="00673BB8" w:rsidRPr="00CB5053" w:rsidRDefault="00673BB8" w:rsidP="002D2EB8">
            <w:pPr>
              <w:rPr>
                <w:rFonts w:cs="Times New Roman"/>
              </w:rPr>
            </w:pPr>
            <w:proofErr w:type="spellStart"/>
            <w:r w:rsidRPr="00CB5053">
              <w:rPr>
                <w:rFonts w:cs="Times New Roman"/>
              </w:rPr>
              <w:t>Önk.vagyon</w:t>
            </w:r>
            <w:proofErr w:type="spellEnd"/>
            <w:r w:rsidRPr="00CB5053">
              <w:rPr>
                <w:rFonts w:cs="Times New Roman"/>
              </w:rPr>
              <w:t xml:space="preserve"> és az önkormányzatot megillető vagyoni értékű jog értékesítéséből és </w:t>
            </w:r>
            <w:proofErr w:type="spellStart"/>
            <w:r w:rsidRPr="00CB5053">
              <w:rPr>
                <w:rFonts w:cs="Times New Roman"/>
              </w:rPr>
              <w:t>haszn.származó</w:t>
            </w:r>
            <w:proofErr w:type="spellEnd"/>
            <w:r w:rsidRPr="00CB5053">
              <w:rPr>
                <w:rFonts w:cs="Times New Roman"/>
              </w:rPr>
              <w:t xml:space="preserve"> bevétel</w:t>
            </w:r>
          </w:p>
        </w:tc>
        <w:tc>
          <w:tcPr>
            <w:tcW w:w="1520" w:type="dxa"/>
            <w:tcBorders>
              <w:top w:val="nil"/>
              <w:left w:val="nil"/>
              <w:bottom w:val="single" w:sz="4" w:space="0" w:color="808080"/>
              <w:right w:val="single" w:sz="4" w:space="0" w:color="808080"/>
            </w:tcBorders>
            <w:shd w:val="clear" w:color="auto" w:fill="auto"/>
            <w:vAlign w:val="center"/>
            <w:hideMark/>
          </w:tcPr>
          <w:p w14:paraId="235AFF99"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750C4900"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73597C95"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B0D5C6F" w14:textId="77777777" w:rsidR="00673BB8" w:rsidRPr="00CB5053" w:rsidRDefault="00673BB8" w:rsidP="002D2EB8">
            <w:pPr>
              <w:jc w:val="right"/>
              <w:rPr>
                <w:rFonts w:cs="Times New Roman"/>
              </w:rPr>
            </w:pPr>
            <w:r w:rsidRPr="00CB5053">
              <w:rPr>
                <w:rFonts w:cs="Times New Roman"/>
              </w:rPr>
              <w:t>0</w:t>
            </w:r>
          </w:p>
        </w:tc>
      </w:tr>
      <w:tr w:rsidR="00673BB8" w:rsidRPr="00CB5053" w14:paraId="0B7A1165"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45944E2B" w14:textId="77777777" w:rsidR="00673BB8" w:rsidRPr="00CB5053" w:rsidRDefault="00673BB8" w:rsidP="002D2EB8">
            <w:pPr>
              <w:jc w:val="center"/>
              <w:rPr>
                <w:rFonts w:cs="Times New Roman"/>
              </w:rPr>
            </w:pPr>
            <w:r w:rsidRPr="00CB5053">
              <w:rPr>
                <w:rFonts w:cs="Times New Roman"/>
              </w:rPr>
              <w:t>3</w:t>
            </w:r>
          </w:p>
        </w:tc>
        <w:tc>
          <w:tcPr>
            <w:tcW w:w="2817" w:type="dxa"/>
            <w:tcBorders>
              <w:top w:val="nil"/>
              <w:left w:val="nil"/>
              <w:bottom w:val="single" w:sz="4" w:space="0" w:color="808080"/>
              <w:right w:val="single" w:sz="4" w:space="0" w:color="808080"/>
            </w:tcBorders>
            <w:shd w:val="clear" w:color="auto" w:fill="auto"/>
            <w:vAlign w:val="center"/>
            <w:hideMark/>
          </w:tcPr>
          <w:p w14:paraId="6587A49B" w14:textId="77777777" w:rsidR="00673BB8" w:rsidRPr="00CB5053" w:rsidRDefault="00673BB8" w:rsidP="002D2EB8">
            <w:pPr>
              <w:rPr>
                <w:rFonts w:cs="Times New Roman"/>
              </w:rPr>
            </w:pPr>
            <w:r w:rsidRPr="00CB5053">
              <w:rPr>
                <w:rFonts w:cs="Times New Roman"/>
              </w:rPr>
              <w:t>Helyi adók bevétele</w:t>
            </w:r>
          </w:p>
        </w:tc>
        <w:tc>
          <w:tcPr>
            <w:tcW w:w="1520" w:type="dxa"/>
            <w:tcBorders>
              <w:top w:val="nil"/>
              <w:left w:val="nil"/>
              <w:bottom w:val="single" w:sz="4" w:space="0" w:color="808080"/>
              <w:right w:val="single" w:sz="4" w:space="0" w:color="808080"/>
            </w:tcBorders>
            <w:shd w:val="clear" w:color="auto" w:fill="auto"/>
            <w:vAlign w:val="center"/>
            <w:hideMark/>
          </w:tcPr>
          <w:p w14:paraId="1FC2B81C" w14:textId="03FD1FCF" w:rsidR="00673BB8" w:rsidRPr="00CB5053" w:rsidRDefault="007745D5" w:rsidP="002D2EB8">
            <w:pPr>
              <w:jc w:val="right"/>
              <w:rPr>
                <w:rFonts w:cs="Times New Roman"/>
              </w:rPr>
            </w:pPr>
            <w:r w:rsidRPr="00CB5053">
              <w:rPr>
                <w:rFonts w:cs="Times New Roman"/>
              </w:rPr>
              <w:t>93.700.000</w:t>
            </w:r>
          </w:p>
        </w:tc>
        <w:tc>
          <w:tcPr>
            <w:tcW w:w="1520" w:type="dxa"/>
            <w:tcBorders>
              <w:top w:val="nil"/>
              <w:left w:val="nil"/>
              <w:bottom w:val="single" w:sz="4" w:space="0" w:color="808080"/>
              <w:right w:val="single" w:sz="4" w:space="0" w:color="808080"/>
            </w:tcBorders>
            <w:shd w:val="clear" w:color="auto" w:fill="auto"/>
            <w:vAlign w:val="center"/>
            <w:hideMark/>
          </w:tcPr>
          <w:p w14:paraId="0C1DCFEF" w14:textId="084E63A0" w:rsidR="00673BB8" w:rsidRPr="00CB5053" w:rsidRDefault="00673BB8" w:rsidP="002D2EB8">
            <w:pPr>
              <w:jc w:val="right"/>
              <w:rPr>
                <w:rFonts w:cs="Times New Roman"/>
              </w:rPr>
            </w:pPr>
            <w:r w:rsidRPr="00CB5053">
              <w:rPr>
                <w:rFonts w:cs="Times New Roman"/>
              </w:rPr>
              <w:t>9</w:t>
            </w:r>
            <w:r w:rsidR="007745D5" w:rsidRPr="00CB5053">
              <w:rPr>
                <w:rFonts w:cs="Times New Roman"/>
              </w:rPr>
              <w:t>4</w:t>
            </w:r>
            <w:r w:rsidRPr="00CB5053">
              <w:rPr>
                <w:rFonts w:cs="Times New Roman"/>
              </w:rPr>
              <w:t>.000.000</w:t>
            </w:r>
          </w:p>
        </w:tc>
        <w:tc>
          <w:tcPr>
            <w:tcW w:w="1520" w:type="dxa"/>
            <w:tcBorders>
              <w:top w:val="nil"/>
              <w:left w:val="nil"/>
              <w:bottom w:val="single" w:sz="4" w:space="0" w:color="808080"/>
              <w:right w:val="single" w:sz="4" w:space="0" w:color="808080"/>
            </w:tcBorders>
            <w:shd w:val="clear" w:color="auto" w:fill="auto"/>
            <w:vAlign w:val="center"/>
            <w:hideMark/>
          </w:tcPr>
          <w:p w14:paraId="6EBEBB6B" w14:textId="77777777" w:rsidR="00673BB8" w:rsidRPr="00CB5053" w:rsidRDefault="00673BB8" w:rsidP="002D2EB8">
            <w:pPr>
              <w:jc w:val="right"/>
              <w:rPr>
                <w:rFonts w:cs="Times New Roman"/>
              </w:rPr>
            </w:pPr>
            <w:r w:rsidRPr="00CB5053">
              <w:rPr>
                <w:rFonts w:cs="Times New Roman"/>
              </w:rPr>
              <w:t>95.000.000</w:t>
            </w:r>
          </w:p>
        </w:tc>
        <w:tc>
          <w:tcPr>
            <w:tcW w:w="1520" w:type="dxa"/>
            <w:tcBorders>
              <w:top w:val="nil"/>
              <w:left w:val="nil"/>
              <w:bottom w:val="single" w:sz="4" w:space="0" w:color="808080"/>
              <w:right w:val="single" w:sz="4" w:space="0" w:color="808080"/>
            </w:tcBorders>
            <w:shd w:val="clear" w:color="auto" w:fill="auto"/>
            <w:vAlign w:val="center"/>
            <w:hideMark/>
          </w:tcPr>
          <w:p w14:paraId="2628EF89" w14:textId="185A7E0D" w:rsidR="00673BB8" w:rsidRPr="00CB5053" w:rsidRDefault="00673BB8" w:rsidP="002D2EB8">
            <w:pPr>
              <w:jc w:val="right"/>
              <w:rPr>
                <w:rFonts w:cs="Times New Roman"/>
              </w:rPr>
            </w:pPr>
            <w:r w:rsidRPr="00CB5053">
              <w:rPr>
                <w:rFonts w:cs="Times New Roman"/>
              </w:rPr>
              <w:t>9</w:t>
            </w:r>
            <w:r w:rsidR="007745D5" w:rsidRPr="00CB5053">
              <w:rPr>
                <w:rFonts w:cs="Times New Roman"/>
              </w:rPr>
              <w:t>6</w:t>
            </w:r>
            <w:r w:rsidRPr="00CB5053">
              <w:rPr>
                <w:rFonts w:cs="Times New Roman"/>
              </w:rPr>
              <w:t>.000.000</w:t>
            </w:r>
          </w:p>
        </w:tc>
      </w:tr>
      <w:tr w:rsidR="00673BB8" w:rsidRPr="00CB5053" w14:paraId="7C6B33D8"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64FA1320" w14:textId="77777777" w:rsidR="00673BB8" w:rsidRPr="00CB5053" w:rsidRDefault="00673BB8" w:rsidP="002D2EB8">
            <w:pPr>
              <w:jc w:val="center"/>
              <w:rPr>
                <w:rFonts w:cs="Times New Roman"/>
              </w:rPr>
            </w:pPr>
            <w:r w:rsidRPr="00CB5053">
              <w:rPr>
                <w:rFonts w:cs="Times New Roman"/>
              </w:rPr>
              <w:t>4</w:t>
            </w:r>
          </w:p>
        </w:tc>
        <w:tc>
          <w:tcPr>
            <w:tcW w:w="2817" w:type="dxa"/>
            <w:tcBorders>
              <w:top w:val="nil"/>
              <w:left w:val="nil"/>
              <w:bottom w:val="single" w:sz="4" w:space="0" w:color="808080"/>
              <w:right w:val="single" w:sz="4" w:space="0" w:color="808080"/>
            </w:tcBorders>
            <w:shd w:val="clear" w:color="auto" w:fill="auto"/>
            <w:vAlign w:val="center"/>
            <w:hideMark/>
          </w:tcPr>
          <w:p w14:paraId="68BC9EBF" w14:textId="77777777" w:rsidR="00673BB8" w:rsidRPr="00CB5053" w:rsidRDefault="00673BB8" w:rsidP="002D2EB8">
            <w:pPr>
              <w:rPr>
                <w:rFonts w:cs="Times New Roman"/>
              </w:rPr>
            </w:pPr>
            <w:r w:rsidRPr="00CB5053">
              <w:rPr>
                <w:rFonts w:cs="Times New Roman"/>
              </w:rPr>
              <w:t>Osztalék, koncessziós díj és a hozambevétel</w:t>
            </w:r>
          </w:p>
        </w:tc>
        <w:tc>
          <w:tcPr>
            <w:tcW w:w="1520" w:type="dxa"/>
            <w:tcBorders>
              <w:top w:val="nil"/>
              <w:left w:val="nil"/>
              <w:bottom w:val="single" w:sz="4" w:space="0" w:color="808080"/>
              <w:right w:val="single" w:sz="4" w:space="0" w:color="808080"/>
            </w:tcBorders>
            <w:shd w:val="clear" w:color="auto" w:fill="auto"/>
            <w:vAlign w:val="center"/>
            <w:hideMark/>
          </w:tcPr>
          <w:p w14:paraId="2722E359"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0789EA2"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2E6A6367"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27422E3" w14:textId="77777777" w:rsidR="00673BB8" w:rsidRPr="00CB5053" w:rsidRDefault="00673BB8" w:rsidP="002D2EB8">
            <w:pPr>
              <w:jc w:val="right"/>
              <w:rPr>
                <w:rFonts w:cs="Times New Roman"/>
              </w:rPr>
            </w:pPr>
            <w:r w:rsidRPr="00CB5053">
              <w:rPr>
                <w:rFonts w:cs="Times New Roman"/>
              </w:rPr>
              <w:t>0</w:t>
            </w:r>
          </w:p>
        </w:tc>
      </w:tr>
      <w:tr w:rsidR="00673BB8" w:rsidRPr="00CB5053" w14:paraId="5A6CCCCD" w14:textId="77777777" w:rsidTr="002D2EB8">
        <w:trPr>
          <w:trHeight w:hRule="exact" w:val="1491"/>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37B0D1AB" w14:textId="77777777" w:rsidR="00673BB8" w:rsidRPr="00CB5053" w:rsidRDefault="00673BB8" w:rsidP="002D2EB8">
            <w:pPr>
              <w:jc w:val="center"/>
              <w:rPr>
                <w:rFonts w:cs="Times New Roman"/>
              </w:rPr>
            </w:pPr>
            <w:r w:rsidRPr="00CB5053">
              <w:rPr>
                <w:rFonts w:cs="Times New Roman"/>
              </w:rPr>
              <w:t>5</w:t>
            </w:r>
          </w:p>
        </w:tc>
        <w:tc>
          <w:tcPr>
            <w:tcW w:w="2817" w:type="dxa"/>
            <w:tcBorders>
              <w:top w:val="nil"/>
              <w:left w:val="nil"/>
              <w:bottom w:val="single" w:sz="4" w:space="0" w:color="808080"/>
              <w:right w:val="single" w:sz="4" w:space="0" w:color="808080"/>
            </w:tcBorders>
            <w:shd w:val="clear" w:color="auto" w:fill="auto"/>
            <w:vAlign w:val="center"/>
            <w:hideMark/>
          </w:tcPr>
          <w:p w14:paraId="15684BB0" w14:textId="77777777" w:rsidR="00673BB8" w:rsidRPr="00CB5053" w:rsidRDefault="00673BB8" w:rsidP="002D2EB8">
            <w:pPr>
              <w:rPr>
                <w:rFonts w:cs="Times New Roman"/>
              </w:rPr>
            </w:pPr>
            <w:r w:rsidRPr="00CB5053">
              <w:rPr>
                <w:rFonts w:cs="Times New Roman"/>
              </w:rPr>
              <w:t xml:space="preserve">Tárgyi eszköz és az </w:t>
            </w:r>
            <w:proofErr w:type="spellStart"/>
            <w:r w:rsidRPr="00CB5053">
              <w:rPr>
                <w:rFonts w:cs="Times New Roman"/>
              </w:rPr>
              <w:t>im.jószág</w:t>
            </w:r>
            <w:proofErr w:type="spellEnd"/>
            <w:r w:rsidRPr="00CB5053">
              <w:rPr>
                <w:rFonts w:cs="Times New Roman"/>
              </w:rPr>
              <w:t xml:space="preserve">, részvény, részesedés, vállalat értékesítéséből vagy privatizációból származó </w:t>
            </w:r>
            <w:proofErr w:type="spellStart"/>
            <w:r w:rsidRPr="00CB5053">
              <w:rPr>
                <w:rFonts w:cs="Times New Roman"/>
              </w:rPr>
              <w:t>bev</w:t>
            </w:r>
            <w:proofErr w:type="spellEnd"/>
            <w:r w:rsidRPr="00CB5053">
              <w:rPr>
                <w:rFonts w:cs="Times New Roman"/>
              </w:rPr>
              <w:t>.</w:t>
            </w:r>
          </w:p>
        </w:tc>
        <w:tc>
          <w:tcPr>
            <w:tcW w:w="1520" w:type="dxa"/>
            <w:tcBorders>
              <w:top w:val="nil"/>
              <w:left w:val="nil"/>
              <w:bottom w:val="single" w:sz="4" w:space="0" w:color="808080"/>
              <w:right w:val="single" w:sz="4" w:space="0" w:color="808080"/>
            </w:tcBorders>
            <w:shd w:val="clear" w:color="auto" w:fill="auto"/>
            <w:vAlign w:val="center"/>
            <w:hideMark/>
          </w:tcPr>
          <w:p w14:paraId="5D2C6C1D" w14:textId="5C82E66E" w:rsidR="00673BB8" w:rsidRPr="00CB5053" w:rsidRDefault="007745D5" w:rsidP="002D2EB8">
            <w:pPr>
              <w:jc w:val="right"/>
              <w:rPr>
                <w:rFonts w:cs="Times New Roman"/>
              </w:rPr>
            </w:pPr>
            <w:r w:rsidRPr="00CB5053">
              <w:rPr>
                <w:rFonts w:cs="Times New Roman"/>
              </w:rPr>
              <w:t>103.899.714</w:t>
            </w:r>
          </w:p>
        </w:tc>
        <w:tc>
          <w:tcPr>
            <w:tcW w:w="1520" w:type="dxa"/>
            <w:tcBorders>
              <w:top w:val="nil"/>
              <w:left w:val="nil"/>
              <w:bottom w:val="single" w:sz="4" w:space="0" w:color="808080"/>
              <w:right w:val="single" w:sz="4" w:space="0" w:color="808080"/>
            </w:tcBorders>
            <w:shd w:val="clear" w:color="auto" w:fill="auto"/>
            <w:vAlign w:val="center"/>
            <w:hideMark/>
          </w:tcPr>
          <w:p w14:paraId="0C3C71D3"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5E7649A"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190B1D39" w14:textId="77777777" w:rsidR="00673BB8" w:rsidRPr="00CB5053" w:rsidRDefault="00673BB8" w:rsidP="002D2EB8">
            <w:pPr>
              <w:jc w:val="right"/>
              <w:rPr>
                <w:rFonts w:cs="Times New Roman"/>
              </w:rPr>
            </w:pPr>
            <w:r w:rsidRPr="00CB5053">
              <w:rPr>
                <w:rFonts w:cs="Times New Roman"/>
              </w:rPr>
              <w:t>0</w:t>
            </w:r>
          </w:p>
        </w:tc>
      </w:tr>
      <w:tr w:rsidR="00673BB8" w:rsidRPr="00CB5053" w14:paraId="63FE68BC"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1AF9BE0D" w14:textId="77777777" w:rsidR="00673BB8" w:rsidRPr="00CB5053" w:rsidRDefault="00673BB8" w:rsidP="002D2EB8">
            <w:pPr>
              <w:jc w:val="center"/>
              <w:rPr>
                <w:rFonts w:cs="Times New Roman"/>
              </w:rPr>
            </w:pPr>
            <w:r w:rsidRPr="00CB5053">
              <w:rPr>
                <w:rFonts w:cs="Times New Roman"/>
              </w:rPr>
              <w:t>6</w:t>
            </w:r>
          </w:p>
        </w:tc>
        <w:tc>
          <w:tcPr>
            <w:tcW w:w="2817" w:type="dxa"/>
            <w:tcBorders>
              <w:top w:val="nil"/>
              <w:left w:val="nil"/>
              <w:bottom w:val="single" w:sz="4" w:space="0" w:color="808080"/>
              <w:right w:val="single" w:sz="4" w:space="0" w:color="808080"/>
            </w:tcBorders>
            <w:shd w:val="clear" w:color="auto" w:fill="auto"/>
            <w:vAlign w:val="center"/>
            <w:hideMark/>
          </w:tcPr>
          <w:p w14:paraId="79FCA993" w14:textId="77777777" w:rsidR="00673BB8" w:rsidRPr="00CB5053" w:rsidRDefault="00673BB8" w:rsidP="002D2EB8">
            <w:pPr>
              <w:rPr>
                <w:rFonts w:cs="Times New Roman"/>
              </w:rPr>
            </w:pPr>
            <w:r w:rsidRPr="00CB5053">
              <w:rPr>
                <w:rFonts w:cs="Times New Roman"/>
              </w:rPr>
              <w:t>Bírság-, pótlék- és díjbevétel</w:t>
            </w:r>
          </w:p>
        </w:tc>
        <w:tc>
          <w:tcPr>
            <w:tcW w:w="1520" w:type="dxa"/>
            <w:tcBorders>
              <w:top w:val="nil"/>
              <w:left w:val="nil"/>
              <w:bottom w:val="single" w:sz="4" w:space="0" w:color="808080"/>
              <w:right w:val="single" w:sz="4" w:space="0" w:color="808080"/>
            </w:tcBorders>
            <w:shd w:val="clear" w:color="auto" w:fill="auto"/>
            <w:vAlign w:val="center"/>
            <w:hideMark/>
          </w:tcPr>
          <w:p w14:paraId="6D0256B9"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DC5EDD2"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7D415971"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F11412E" w14:textId="77777777" w:rsidR="00673BB8" w:rsidRPr="00CB5053" w:rsidRDefault="00673BB8" w:rsidP="002D2EB8">
            <w:pPr>
              <w:jc w:val="right"/>
              <w:rPr>
                <w:rFonts w:cs="Times New Roman"/>
              </w:rPr>
            </w:pPr>
            <w:r w:rsidRPr="00CB5053">
              <w:rPr>
                <w:rFonts w:cs="Times New Roman"/>
              </w:rPr>
              <w:t>0</w:t>
            </w:r>
          </w:p>
        </w:tc>
      </w:tr>
      <w:tr w:rsidR="00673BB8" w:rsidRPr="00CB5053" w14:paraId="40C611DF" w14:textId="77777777" w:rsidTr="002D2EB8">
        <w:trPr>
          <w:trHeight w:hRule="exact" w:val="942"/>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3204EB22" w14:textId="77777777" w:rsidR="00673BB8" w:rsidRPr="00CB5053" w:rsidRDefault="00673BB8" w:rsidP="002D2EB8">
            <w:pPr>
              <w:jc w:val="center"/>
              <w:rPr>
                <w:rFonts w:cs="Times New Roman"/>
              </w:rPr>
            </w:pPr>
            <w:r w:rsidRPr="00CB5053">
              <w:rPr>
                <w:rFonts w:cs="Times New Roman"/>
              </w:rPr>
              <w:t>7</w:t>
            </w:r>
          </w:p>
        </w:tc>
        <w:tc>
          <w:tcPr>
            <w:tcW w:w="2817" w:type="dxa"/>
            <w:tcBorders>
              <w:top w:val="nil"/>
              <w:left w:val="nil"/>
              <w:bottom w:val="single" w:sz="4" w:space="0" w:color="808080"/>
              <w:right w:val="single" w:sz="4" w:space="0" w:color="808080"/>
            </w:tcBorders>
            <w:shd w:val="clear" w:color="auto" w:fill="auto"/>
            <w:vAlign w:val="center"/>
            <w:hideMark/>
          </w:tcPr>
          <w:p w14:paraId="01BD5457" w14:textId="77777777" w:rsidR="00673BB8" w:rsidRPr="00CB5053" w:rsidRDefault="00673BB8" w:rsidP="002D2EB8">
            <w:pPr>
              <w:rPr>
                <w:rFonts w:cs="Times New Roman"/>
              </w:rPr>
            </w:pPr>
            <w:r w:rsidRPr="00CB5053">
              <w:rPr>
                <w:rFonts w:cs="Times New Roman"/>
              </w:rPr>
              <w:t>Kezesség-, illetve garanciavállalással kapcsolatos megtérülés</w:t>
            </w:r>
          </w:p>
        </w:tc>
        <w:tc>
          <w:tcPr>
            <w:tcW w:w="1520" w:type="dxa"/>
            <w:tcBorders>
              <w:top w:val="nil"/>
              <w:left w:val="nil"/>
              <w:bottom w:val="single" w:sz="4" w:space="0" w:color="808080"/>
              <w:right w:val="single" w:sz="4" w:space="0" w:color="808080"/>
            </w:tcBorders>
            <w:shd w:val="clear" w:color="auto" w:fill="auto"/>
            <w:vAlign w:val="center"/>
            <w:hideMark/>
          </w:tcPr>
          <w:p w14:paraId="5759510A"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1886D8C2"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8365914"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28041C80" w14:textId="77777777" w:rsidR="00673BB8" w:rsidRPr="00CB5053" w:rsidRDefault="00673BB8" w:rsidP="002D2EB8">
            <w:pPr>
              <w:jc w:val="right"/>
              <w:rPr>
                <w:rFonts w:cs="Times New Roman"/>
              </w:rPr>
            </w:pPr>
            <w:r w:rsidRPr="00CB5053">
              <w:rPr>
                <w:rFonts w:cs="Times New Roman"/>
              </w:rPr>
              <w:t>0</w:t>
            </w:r>
          </w:p>
        </w:tc>
      </w:tr>
      <w:tr w:rsidR="00673BB8" w:rsidRPr="00CB5053" w14:paraId="0EAE98FE"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09A87AC5" w14:textId="77777777" w:rsidR="00673BB8" w:rsidRPr="00CB5053" w:rsidRDefault="00673BB8" w:rsidP="002D2EB8">
            <w:pPr>
              <w:jc w:val="center"/>
              <w:rPr>
                <w:rFonts w:cs="Times New Roman"/>
              </w:rPr>
            </w:pPr>
            <w:r w:rsidRPr="00CB5053">
              <w:rPr>
                <w:rFonts w:cs="Times New Roman"/>
              </w:rPr>
              <w:t>8</w:t>
            </w:r>
          </w:p>
        </w:tc>
        <w:tc>
          <w:tcPr>
            <w:tcW w:w="2817" w:type="dxa"/>
            <w:tcBorders>
              <w:top w:val="nil"/>
              <w:left w:val="nil"/>
              <w:bottom w:val="single" w:sz="4" w:space="0" w:color="808080"/>
              <w:right w:val="single" w:sz="4" w:space="0" w:color="808080"/>
            </w:tcBorders>
            <w:shd w:val="clear" w:color="auto" w:fill="auto"/>
            <w:vAlign w:val="center"/>
            <w:hideMark/>
          </w:tcPr>
          <w:p w14:paraId="1F7A9A7B" w14:textId="77777777" w:rsidR="00673BB8" w:rsidRPr="00CB5053" w:rsidRDefault="00673BB8" w:rsidP="002D2EB8">
            <w:pPr>
              <w:jc w:val="both"/>
              <w:rPr>
                <w:rFonts w:cs="Times New Roman"/>
                <w:b/>
                <w:bCs/>
              </w:rPr>
            </w:pPr>
            <w:r w:rsidRPr="00CB5053">
              <w:rPr>
                <w:rFonts w:cs="Times New Roman"/>
                <w:b/>
                <w:bCs/>
              </w:rPr>
              <w:t>Bevételek összesen</w:t>
            </w:r>
          </w:p>
        </w:tc>
        <w:tc>
          <w:tcPr>
            <w:tcW w:w="1520" w:type="dxa"/>
            <w:tcBorders>
              <w:top w:val="nil"/>
              <w:left w:val="nil"/>
              <w:bottom w:val="single" w:sz="4" w:space="0" w:color="808080"/>
              <w:right w:val="single" w:sz="4" w:space="0" w:color="808080"/>
            </w:tcBorders>
            <w:shd w:val="clear" w:color="auto" w:fill="auto"/>
            <w:vAlign w:val="center"/>
            <w:hideMark/>
          </w:tcPr>
          <w:p w14:paraId="3D851C07" w14:textId="39FD8700" w:rsidR="00673BB8" w:rsidRPr="00CB5053" w:rsidRDefault="007745D5" w:rsidP="002D2EB8">
            <w:pPr>
              <w:jc w:val="right"/>
              <w:rPr>
                <w:rFonts w:cs="Times New Roman"/>
                <w:b/>
                <w:bCs/>
              </w:rPr>
            </w:pPr>
            <w:r w:rsidRPr="00CB5053">
              <w:rPr>
                <w:rFonts w:cs="Times New Roman"/>
                <w:b/>
                <w:bCs/>
              </w:rPr>
              <w:t>197.599.714</w:t>
            </w:r>
          </w:p>
        </w:tc>
        <w:tc>
          <w:tcPr>
            <w:tcW w:w="1520" w:type="dxa"/>
            <w:tcBorders>
              <w:top w:val="nil"/>
              <w:left w:val="nil"/>
              <w:bottom w:val="single" w:sz="4" w:space="0" w:color="808080"/>
              <w:right w:val="single" w:sz="4" w:space="0" w:color="808080"/>
            </w:tcBorders>
            <w:shd w:val="clear" w:color="auto" w:fill="auto"/>
            <w:vAlign w:val="center"/>
            <w:hideMark/>
          </w:tcPr>
          <w:p w14:paraId="36910CFD" w14:textId="2B151621" w:rsidR="00673BB8" w:rsidRPr="00CB5053" w:rsidRDefault="007745D5" w:rsidP="002D2EB8">
            <w:pPr>
              <w:jc w:val="right"/>
              <w:rPr>
                <w:rFonts w:cs="Times New Roman"/>
                <w:b/>
                <w:bCs/>
              </w:rPr>
            </w:pPr>
            <w:r w:rsidRPr="00CB5053">
              <w:rPr>
                <w:rFonts w:cs="Times New Roman"/>
                <w:b/>
                <w:bCs/>
              </w:rPr>
              <w:t>94.000.000</w:t>
            </w:r>
          </w:p>
        </w:tc>
        <w:tc>
          <w:tcPr>
            <w:tcW w:w="1520" w:type="dxa"/>
            <w:tcBorders>
              <w:top w:val="nil"/>
              <w:left w:val="nil"/>
              <w:bottom w:val="single" w:sz="4" w:space="0" w:color="808080"/>
              <w:right w:val="single" w:sz="4" w:space="0" w:color="808080"/>
            </w:tcBorders>
            <w:shd w:val="clear" w:color="auto" w:fill="auto"/>
            <w:vAlign w:val="center"/>
            <w:hideMark/>
          </w:tcPr>
          <w:p w14:paraId="75AC1495" w14:textId="77777777" w:rsidR="00673BB8" w:rsidRPr="00CB5053" w:rsidRDefault="00673BB8" w:rsidP="002D2EB8">
            <w:pPr>
              <w:jc w:val="right"/>
              <w:rPr>
                <w:rFonts w:cs="Times New Roman"/>
                <w:b/>
                <w:bCs/>
              </w:rPr>
            </w:pPr>
            <w:r w:rsidRPr="00CB5053">
              <w:rPr>
                <w:rFonts w:cs="Times New Roman"/>
                <w:b/>
                <w:bCs/>
              </w:rPr>
              <w:t>95.000.000</w:t>
            </w:r>
          </w:p>
        </w:tc>
        <w:tc>
          <w:tcPr>
            <w:tcW w:w="1520" w:type="dxa"/>
            <w:tcBorders>
              <w:top w:val="nil"/>
              <w:left w:val="nil"/>
              <w:bottom w:val="single" w:sz="4" w:space="0" w:color="808080"/>
              <w:right w:val="single" w:sz="4" w:space="0" w:color="808080"/>
            </w:tcBorders>
            <w:shd w:val="clear" w:color="auto" w:fill="auto"/>
            <w:vAlign w:val="center"/>
            <w:hideMark/>
          </w:tcPr>
          <w:p w14:paraId="659E8DB0" w14:textId="0F0070F7" w:rsidR="00673BB8" w:rsidRPr="00CB5053" w:rsidRDefault="00673BB8" w:rsidP="002D2EB8">
            <w:pPr>
              <w:jc w:val="right"/>
              <w:rPr>
                <w:rFonts w:cs="Times New Roman"/>
                <w:b/>
                <w:bCs/>
              </w:rPr>
            </w:pPr>
            <w:r w:rsidRPr="00CB5053">
              <w:rPr>
                <w:rFonts w:cs="Times New Roman"/>
                <w:b/>
                <w:bCs/>
              </w:rPr>
              <w:t>9</w:t>
            </w:r>
            <w:r w:rsidR="007745D5" w:rsidRPr="00CB5053">
              <w:rPr>
                <w:rFonts w:cs="Times New Roman"/>
                <w:b/>
                <w:bCs/>
              </w:rPr>
              <w:t>6</w:t>
            </w:r>
            <w:r w:rsidRPr="00CB5053">
              <w:rPr>
                <w:rFonts w:cs="Times New Roman"/>
                <w:b/>
                <w:bCs/>
              </w:rPr>
              <w:t>.000.000</w:t>
            </w:r>
          </w:p>
        </w:tc>
      </w:tr>
      <w:tr w:rsidR="00673BB8" w:rsidRPr="00CB5053" w14:paraId="2F657F84" w14:textId="77777777" w:rsidTr="002D2EB8">
        <w:trPr>
          <w:trHeight w:hRule="exact" w:val="557"/>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5B300C02" w14:textId="77777777" w:rsidR="00673BB8" w:rsidRPr="00CB5053" w:rsidRDefault="00673BB8" w:rsidP="002D2EB8">
            <w:pPr>
              <w:jc w:val="center"/>
              <w:rPr>
                <w:rFonts w:cs="Times New Roman"/>
              </w:rPr>
            </w:pPr>
            <w:r w:rsidRPr="00CB5053">
              <w:rPr>
                <w:rFonts w:cs="Times New Roman"/>
              </w:rPr>
              <w:t>9</w:t>
            </w:r>
          </w:p>
        </w:tc>
        <w:tc>
          <w:tcPr>
            <w:tcW w:w="2817" w:type="dxa"/>
            <w:tcBorders>
              <w:top w:val="nil"/>
              <w:left w:val="nil"/>
              <w:bottom w:val="single" w:sz="4" w:space="0" w:color="808080"/>
              <w:right w:val="single" w:sz="4" w:space="0" w:color="808080"/>
            </w:tcBorders>
            <w:shd w:val="clear" w:color="auto" w:fill="auto"/>
            <w:vAlign w:val="center"/>
            <w:hideMark/>
          </w:tcPr>
          <w:p w14:paraId="5D498A5B" w14:textId="77777777" w:rsidR="00673BB8" w:rsidRPr="00CB5053" w:rsidRDefault="00673BB8" w:rsidP="002D2EB8">
            <w:pPr>
              <w:jc w:val="both"/>
              <w:rPr>
                <w:rFonts w:cs="Times New Roman"/>
                <w:b/>
                <w:bCs/>
              </w:rPr>
            </w:pPr>
            <w:r w:rsidRPr="00CB5053">
              <w:rPr>
                <w:rFonts w:cs="Times New Roman"/>
                <w:b/>
                <w:bCs/>
              </w:rPr>
              <w:t>Adott évi saját bevétel 50%-a</w:t>
            </w:r>
          </w:p>
        </w:tc>
        <w:tc>
          <w:tcPr>
            <w:tcW w:w="1520" w:type="dxa"/>
            <w:tcBorders>
              <w:top w:val="nil"/>
              <w:left w:val="nil"/>
              <w:bottom w:val="single" w:sz="4" w:space="0" w:color="808080"/>
              <w:right w:val="single" w:sz="4" w:space="0" w:color="808080"/>
            </w:tcBorders>
            <w:shd w:val="clear" w:color="auto" w:fill="auto"/>
            <w:vAlign w:val="center"/>
            <w:hideMark/>
          </w:tcPr>
          <w:p w14:paraId="694DB8E5" w14:textId="2BCBEAF5" w:rsidR="00673BB8" w:rsidRPr="00CB5053" w:rsidRDefault="007745D5" w:rsidP="002D2EB8">
            <w:pPr>
              <w:jc w:val="right"/>
              <w:rPr>
                <w:rFonts w:cs="Times New Roman"/>
                <w:b/>
                <w:bCs/>
              </w:rPr>
            </w:pPr>
            <w:r w:rsidRPr="00CB5053">
              <w:rPr>
                <w:rFonts w:cs="Times New Roman"/>
                <w:b/>
                <w:bCs/>
              </w:rPr>
              <w:t>98.799.857</w:t>
            </w:r>
          </w:p>
        </w:tc>
        <w:tc>
          <w:tcPr>
            <w:tcW w:w="1520" w:type="dxa"/>
            <w:tcBorders>
              <w:top w:val="nil"/>
              <w:left w:val="nil"/>
              <w:bottom w:val="single" w:sz="4" w:space="0" w:color="808080"/>
              <w:right w:val="single" w:sz="4" w:space="0" w:color="808080"/>
            </w:tcBorders>
            <w:shd w:val="clear" w:color="auto" w:fill="auto"/>
            <w:vAlign w:val="center"/>
            <w:hideMark/>
          </w:tcPr>
          <w:p w14:paraId="65BB2259" w14:textId="4CBB2656" w:rsidR="00673BB8" w:rsidRPr="00CB5053" w:rsidRDefault="00673BB8" w:rsidP="002D2EB8">
            <w:pPr>
              <w:jc w:val="right"/>
              <w:rPr>
                <w:rFonts w:cs="Times New Roman"/>
                <w:b/>
                <w:bCs/>
              </w:rPr>
            </w:pPr>
            <w:r w:rsidRPr="00CB5053">
              <w:rPr>
                <w:rFonts w:cs="Times New Roman"/>
                <w:b/>
                <w:bCs/>
              </w:rPr>
              <w:t>4</w:t>
            </w:r>
            <w:r w:rsidR="007745D5" w:rsidRPr="00CB5053">
              <w:rPr>
                <w:rFonts w:cs="Times New Roman"/>
                <w:b/>
                <w:bCs/>
              </w:rPr>
              <w:t>7</w:t>
            </w:r>
            <w:r w:rsidRPr="00CB5053">
              <w:rPr>
                <w:rFonts w:cs="Times New Roman"/>
                <w:b/>
                <w:bCs/>
              </w:rPr>
              <w:t>.000.000</w:t>
            </w:r>
          </w:p>
        </w:tc>
        <w:tc>
          <w:tcPr>
            <w:tcW w:w="1520" w:type="dxa"/>
            <w:tcBorders>
              <w:top w:val="nil"/>
              <w:left w:val="nil"/>
              <w:bottom w:val="single" w:sz="4" w:space="0" w:color="808080"/>
              <w:right w:val="single" w:sz="4" w:space="0" w:color="808080"/>
            </w:tcBorders>
            <w:shd w:val="clear" w:color="auto" w:fill="auto"/>
            <w:vAlign w:val="center"/>
            <w:hideMark/>
          </w:tcPr>
          <w:p w14:paraId="5721A585" w14:textId="77777777" w:rsidR="00673BB8" w:rsidRPr="00CB5053" w:rsidRDefault="00673BB8" w:rsidP="002D2EB8">
            <w:pPr>
              <w:jc w:val="right"/>
              <w:rPr>
                <w:rFonts w:cs="Times New Roman"/>
                <w:b/>
                <w:bCs/>
              </w:rPr>
            </w:pPr>
            <w:r w:rsidRPr="00CB5053">
              <w:rPr>
                <w:rFonts w:cs="Times New Roman"/>
                <w:b/>
                <w:bCs/>
              </w:rPr>
              <w:t>47.500.000</w:t>
            </w:r>
          </w:p>
        </w:tc>
        <w:tc>
          <w:tcPr>
            <w:tcW w:w="1520" w:type="dxa"/>
            <w:tcBorders>
              <w:top w:val="nil"/>
              <w:left w:val="nil"/>
              <w:bottom w:val="single" w:sz="4" w:space="0" w:color="808080"/>
              <w:right w:val="single" w:sz="4" w:space="0" w:color="808080"/>
            </w:tcBorders>
            <w:shd w:val="clear" w:color="auto" w:fill="auto"/>
            <w:vAlign w:val="center"/>
            <w:hideMark/>
          </w:tcPr>
          <w:p w14:paraId="40D7BC74" w14:textId="0986B4B6" w:rsidR="00673BB8" w:rsidRPr="00CB5053" w:rsidRDefault="00673BB8" w:rsidP="002D2EB8">
            <w:pPr>
              <w:jc w:val="right"/>
              <w:rPr>
                <w:rFonts w:cs="Times New Roman"/>
                <w:b/>
                <w:bCs/>
              </w:rPr>
            </w:pPr>
            <w:r w:rsidRPr="00CB5053">
              <w:rPr>
                <w:rFonts w:cs="Times New Roman"/>
                <w:b/>
                <w:bCs/>
              </w:rPr>
              <w:t>4</w:t>
            </w:r>
            <w:r w:rsidR="007745D5" w:rsidRPr="00CB5053">
              <w:rPr>
                <w:rFonts w:cs="Times New Roman"/>
                <w:b/>
                <w:bCs/>
              </w:rPr>
              <w:t>8</w:t>
            </w:r>
            <w:r w:rsidRPr="00CB5053">
              <w:rPr>
                <w:rFonts w:cs="Times New Roman"/>
                <w:b/>
                <w:bCs/>
              </w:rPr>
              <w:t>.000.000</w:t>
            </w:r>
          </w:p>
        </w:tc>
      </w:tr>
      <w:tr w:rsidR="00673BB8" w:rsidRPr="00CB5053" w14:paraId="7D5C4977" w14:textId="77777777" w:rsidTr="002D2EB8">
        <w:trPr>
          <w:trHeight w:hRule="exact" w:val="630"/>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63D9A878" w14:textId="77777777" w:rsidR="00673BB8" w:rsidRPr="00CB5053" w:rsidRDefault="00673BB8" w:rsidP="002D2EB8">
            <w:pPr>
              <w:jc w:val="center"/>
              <w:rPr>
                <w:rFonts w:cs="Times New Roman"/>
              </w:rPr>
            </w:pPr>
            <w:r w:rsidRPr="00CB5053">
              <w:rPr>
                <w:rFonts w:cs="Times New Roman"/>
              </w:rPr>
              <w:t>10</w:t>
            </w:r>
          </w:p>
        </w:tc>
        <w:tc>
          <w:tcPr>
            <w:tcW w:w="2817" w:type="dxa"/>
            <w:tcBorders>
              <w:top w:val="nil"/>
              <w:left w:val="nil"/>
              <w:bottom w:val="single" w:sz="4" w:space="0" w:color="808080"/>
              <w:right w:val="single" w:sz="4" w:space="0" w:color="808080"/>
            </w:tcBorders>
            <w:shd w:val="clear" w:color="auto" w:fill="auto"/>
            <w:vAlign w:val="center"/>
            <w:hideMark/>
          </w:tcPr>
          <w:p w14:paraId="3020E24E" w14:textId="77777777" w:rsidR="00673BB8" w:rsidRPr="00CB5053" w:rsidRDefault="00673BB8" w:rsidP="002D2EB8">
            <w:pPr>
              <w:jc w:val="both"/>
              <w:rPr>
                <w:rFonts w:cs="Times New Roman"/>
              </w:rPr>
            </w:pPr>
            <w:r w:rsidRPr="00CB5053">
              <w:rPr>
                <w:rFonts w:cs="Times New Roman"/>
              </w:rPr>
              <w:t>Hitel felvételből származó tőketartozás XII. 31-én</w:t>
            </w:r>
          </w:p>
        </w:tc>
        <w:tc>
          <w:tcPr>
            <w:tcW w:w="1520" w:type="dxa"/>
            <w:tcBorders>
              <w:top w:val="nil"/>
              <w:left w:val="nil"/>
              <w:bottom w:val="single" w:sz="4" w:space="0" w:color="808080"/>
              <w:right w:val="single" w:sz="4" w:space="0" w:color="808080"/>
            </w:tcBorders>
            <w:shd w:val="clear" w:color="auto" w:fill="auto"/>
            <w:vAlign w:val="center"/>
            <w:hideMark/>
          </w:tcPr>
          <w:p w14:paraId="78969496" w14:textId="30453E4D"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3CF3EEB" w14:textId="56B5BB10"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0ADA41A" w14:textId="7B54E578"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207D2E0C" w14:textId="77777777" w:rsidR="00673BB8" w:rsidRPr="00CB5053" w:rsidRDefault="00673BB8" w:rsidP="002D2EB8">
            <w:pPr>
              <w:jc w:val="right"/>
              <w:rPr>
                <w:rFonts w:cs="Times New Roman"/>
              </w:rPr>
            </w:pPr>
            <w:r w:rsidRPr="00CB5053">
              <w:rPr>
                <w:rFonts w:cs="Times New Roman"/>
              </w:rPr>
              <w:t>0</w:t>
            </w:r>
          </w:p>
        </w:tc>
      </w:tr>
      <w:tr w:rsidR="00673BB8" w:rsidRPr="00CB5053" w14:paraId="0B4D0BFC"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587B4E08" w14:textId="77777777" w:rsidR="00673BB8" w:rsidRPr="00CB5053" w:rsidRDefault="00673BB8" w:rsidP="002D2EB8">
            <w:pPr>
              <w:jc w:val="center"/>
              <w:rPr>
                <w:rFonts w:cs="Times New Roman"/>
              </w:rPr>
            </w:pPr>
            <w:r w:rsidRPr="00CB5053">
              <w:rPr>
                <w:rFonts w:cs="Times New Roman"/>
              </w:rPr>
              <w:t>11</w:t>
            </w:r>
          </w:p>
        </w:tc>
        <w:tc>
          <w:tcPr>
            <w:tcW w:w="2817" w:type="dxa"/>
            <w:tcBorders>
              <w:top w:val="nil"/>
              <w:left w:val="nil"/>
              <w:bottom w:val="single" w:sz="4" w:space="0" w:color="808080"/>
              <w:right w:val="single" w:sz="4" w:space="0" w:color="808080"/>
            </w:tcBorders>
            <w:shd w:val="clear" w:color="auto" w:fill="auto"/>
            <w:vAlign w:val="center"/>
            <w:hideMark/>
          </w:tcPr>
          <w:p w14:paraId="0D6D6B71" w14:textId="77777777" w:rsidR="00673BB8" w:rsidRPr="00CB5053" w:rsidRDefault="00673BB8" w:rsidP="002D2EB8">
            <w:pPr>
              <w:jc w:val="both"/>
              <w:rPr>
                <w:rFonts w:cs="Times New Roman"/>
              </w:rPr>
            </w:pPr>
            <w:r w:rsidRPr="00CB5053">
              <w:rPr>
                <w:rFonts w:cs="Times New Roman"/>
              </w:rPr>
              <w:t>Kötvény kibocsátásból származó tőketartozás</w:t>
            </w:r>
          </w:p>
        </w:tc>
        <w:tc>
          <w:tcPr>
            <w:tcW w:w="1520" w:type="dxa"/>
            <w:tcBorders>
              <w:top w:val="nil"/>
              <w:left w:val="nil"/>
              <w:bottom w:val="single" w:sz="4" w:space="0" w:color="808080"/>
              <w:right w:val="single" w:sz="4" w:space="0" w:color="808080"/>
            </w:tcBorders>
            <w:shd w:val="clear" w:color="auto" w:fill="auto"/>
            <w:vAlign w:val="center"/>
            <w:hideMark/>
          </w:tcPr>
          <w:p w14:paraId="39BF7C0F"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02071329"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6476B8DA"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399E5C70" w14:textId="77777777" w:rsidR="00673BB8" w:rsidRPr="00CB5053" w:rsidRDefault="00673BB8" w:rsidP="002D2EB8">
            <w:pPr>
              <w:jc w:val="right"/>
              <w:rPr>
                <w:rFonts w:cs="Times New Roman"/>
              </w:rPr>
            </w:pPr>
            <w:r w:rsidRPr="00CB5053">
              <w:rPr>
                <w:rFonts w:cs="Times New Roman"/>
              </w:rPr>
              <w:t>0</w:t>
            </w:r>
          </w:p>
        </w:tc>
      </w:tr>
      <w:tr w:rsidR="00673BB8" w:rsidRPr="00CB5053" w14:paraId="7FC1B092" w14:textId="77777777" w:rsidTr="002D2EB8">
        <w:trPr>
          <w:trHeight w:hRule="exact" w:val="630"/>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25D1671D" w14:textId="77777777" w:rsidR="00673BB8" w:rsidRPr="00CB5053" w:rsidRDefault="00673BB8" w:rsidP="002D2EB8">
            <w:pPr>
              <w:jc w:val="center"/>
              <w:rPr>
                <w:rFonts w:cs="Times New Roman"/>
              </w:rPr>
            </w:pPr>
            <w:r w:rsidRPr="00CB5053">
              <w:rPr>
                <w:rFonts w:cs="Times New Roman"/>
              </w:rPr>
              <w:t>12</w:t>
            </w:r>
          </w:p>
        </w:tc>
        <w:tc>
          <w:tcPr>
            <w:tcW w:w="2817" w:type="dxa"/>
            <w:tcBorders>
              <w:top w:val="nil"/>
              <w:left w:val="nil"/>
              <w:bottom w:val="single" w:sz="4" w:space="0" w:color="808080"/>
              <w:right w:val="single" w:sz="4" w:space="0" w:color="808080"/>
            </w:tcBorders>
            <w:shd w:val="clear" w:color="auto" w:fill="auto"/>
            <w:vAlign w:val="center"/>
            <w:hideMark/>
          </w:tcPr>
          <w:p w14:paraId="6D6D8F96" w14:textId="77777777" w:rsidR="00673BB8" w:rsidRPr="00CB5053" w:rsidRDefault="00673BB8" w:rsidP="002D2EB8">
            <w:pPr>
              <w:jc w:val="both"/>
              <w:rPr>
                <w:rFonts w:cs="Times New Roman"/>
                <w:b/>
                <w:bCs/>
              </w:rPr>
            </w:pPr>
            <w:r w:rsidRPr="00CB5053">
              <w:rPr>
                <w:rFonts w:cs="Times New Roman"/>
                <w:b/>
                <w:bCs/>
              </w:rPr>
              <w:t>Adósságot keletkeztető ügyletek összértéke</w:t>
            </w:r>
          </w:p>
        </w:tc>
        <w:tc>
          <w:tcPr>
            <w:tcW w:w="1520" w:type="dxa"/>
            <w:tcBorders>
              <w:top w:val="nil"/>
              <w:left w:val="nil"/>
              <w:bottom w:val="single" w:sz="4" w:space="0" w:color="808080"/>
              <w:right w:val="single" w:sz="4" w:space="0" w:color="808080"/>
            </w:tcBorders>
            <w:shd w:val="clear" w:color="auto" w:fill="auto"/>
            <w:vAlign w:val="center"/>
            <w:hideMark/>
          </w:tcPr>
          <w:p w14:paraId="1F2A5558" w14:textId="6CA69D02"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3618E185" w14:textId="70E86CF4"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739068E8" w14:textId="29880F10"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061571F6" w14:textId="77777777" w:rsidR="00673BB8" w:rsidRPr="00CB5053" w:rsidRDefault="00673BB8" w:rsidP="002D2EB8">
            <w:pPr>
              <w:jc w:val="right"/>
              <w:rPr>
                <w:rFonts w:cs="Times New Roman"/>
                <w:b/>
                <w:bCs/>
              </w:rPr>
            </w:pPr>
            <w:r w:rsidRPr="00CB5053">
              <w:rPr>
                <w:rFonts w:cs="Times New Roman"/>
                <w:b/>
                <w:bCs/>
              </w:rPr>
              <w:t>0</w:t>
            </w:r>
          </w:p>
        </w:tc>
      </w:tr>
      <w:tr w:rsidR="00673BB8" w:rsidRPr="00CB5053" w14:paraId="65D6A6E6"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449FD8CF" w14:textId="77777777" w:rsidR="00673BB8" w:rsidRPr="00CB5053" w:rsidRDefault="00673BB8" w:rsidP="002D2EB8">
            <w:pPr>
              <w:jc w:val="center"/>
              <w:rPr>
                <w:rFonts w:cs="Times New Roman"/>
              </w:rPr>
            </w:pPr>
            <w:r w:rsidRPr="00CB5053">
              <w:rPr>
                <w:rFonts w:cs="Times New Roman"/>
              </w:rPr>
              <w:t>13</w:t>
            </w:r>
          </w:p>
        </w:tc>
        <w:tc>
          <w:tcPr>
            <w:tcW w:w="2817" w:type="dxa"/>
            <w:tcBorders>
              <w:top w:val="nil"/>
              <w:left w:val="nil"/>
              <w:bottom w:val="single" w:sz="4" w:space="0" w:color="808080"/>
              <w:right w:val="single" w:sz="4" w:space="0" w:color="808080"/>
            </w:tcBorders>
            <w:shd w:val="clear" w:color="auto" w:fill="auto"/>
            <w:vAlign w:val="center"/>
            <w:hideMark/>
          </w:tcPr>
          <w:p w14:paraId="434D5C22" w14:textId="77777777" w:rsidR="00673BB8" w:rsidRPr="00CB5053" w:rsidRDefault="00673BB8" w:rsidP="002D2EB8">
            <w:pPr>
              <w:jc w:val="both"/>
              <w:rPr>
                <w:rFonts w:cs="Times New Roman"/>
              </w:rPr>
            </w:pPr>
            <w:r w:rsidRPr="00CB5053">
              <w:rPr>
                <w:rFonts w:cs="Times New Roman"/>
              </w:rPr>
              <w:t>Tőkefizetési kötelezettség</w:t>
            </w:r>
          </w:p>
        </w:tc>
        <w:tc>
          <w:tcPr>
            <w:tcW w:w="1520" w:type="dxa"/>
            <w:tcBorders>
              <w:top w:val="nil"/>
              <w:left w:val="nil"/>
              <w:bottom w:val="single" w:sz="4" w:space="0" w:color="808080"/>
              <w:right w:val="single" w:sz="4" w:space="0" w:color="808080"/>
            </w:tcBorders>
            <w:shd w:val="clear" w:color="auto" w:fill="auto"/>
            <w:vAlign w:val="center"/>
            <w:hideMark/>
          </w:tcPr>
          <w:p w14:paraId="09D46384" w14:textId="77777777" w:rsidR="00673BB8" w:rsidRPr="00CB5053" w:rsidRDefault="00673BB8"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33FA664B" w14:textId="5FD2C45A"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28330C96" w14:textId="7041813F"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97698F4" w14:textId="4BB6A474" w:rsidR="00673BB8" w:rsidRPr="00CB5053" w:rsidRDefault="007745D5" w:rsidP="002D2EB8">
            <w:pPr>
              <w:jc w:val="right"/>
              <w:rPr>
                <w:rFonts w:cs="Times New Roman"/>
              </w:rPr>
            </w:pPr>
            <w:r w:rsidRPr="00CB5053">
              <w:rPr>
                <w:rFonts w:cs="Times New Roman"/>
              </w:rPr>
              <w:t>0</w:t>
            </w:r>
          </w:p>
        </w:tc>
      </w:tr>
      <w:tr w:rsidR="00673BB8" w:rsidRPr="00CB5053" w14:paraId="0A5924BE" w14:textId="77777777" w:rsidTr="002D2EB8">
        <w:trPr>
          <w:trHeight w:hRule="exact" w:val="315"/>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76CDB2B9" w14:textId="77777777" w:rsidR="00673BB8" w:rsidRPr="00CB5053" w:rsidRDefault="00673BB8" w:rsidP="002D2EB8">
            <w:pPr>
              <w:jc w:val="center"/>
              <w:rPr>
                <w:rFonts w:cs="Times New Roman"/>
              </w:rPr>
            </w:pPr>
            <w:r w:rsidRPr="00CB5053">
              <w:rPr>
                <w:rFonts w:cs="Times New Roman"/>
              </w:rPr>
              <w:t>14</w:t>
            </w:r>
          </w:p>
        </w:tc>
        <w:tc>
          <w:tcPr>
            <w:tcW w:w="2817" w:type="dxa"/>
            <w:tcBorders>
              <w:top w:val="nil"/>
              <w:left w:val="nil"/>
              <w:bottom w:val="single" w:sz="4" w:space="0" w:color="808080"/>
              <w:right w:val="single" w:sz="4" w:space="0" w:color="808080"/>
            </w:tcBorders>
            <w:shd w:val="clear" w:color="auto" w:fill="auto"/>
            <w:vAlign w:val="center"/>
            <w:hideMark/>
          </w:tcPr>
          <w:p w14:paraId="4C4E55FF" w14:textId="77777777" w:rsidR="00673BB8" w:rsidRPr="00CB5053" w:rsidRDefault="00673BB8" w:rsidP="002D2EB8">
            <w:pPr>
              <w:jc w:val="both"/>
              <w:rPr>
                <w:rFonts w:cs="Times New Roman"/>
              </w:rPr>
            </w:pPr>
            <w:r w:rsidRPr="00CB5053">
              <w:rPr>
                <w:rFonts w:cs="Times New Roman"/>
              </w:rPr>
              <w:t>Kamatfizetési kötelezettség</w:t>
            </w:r>
          </w:p>
        </w:tc>
        <w:tc>
          <w:tcPr>
            <w:tcW w:w="1520" w:type="dxa"/>
            <w:tcBorders>
              <w:top w:val="nil"/>
              <w:left w:val="nil"/>
              <w:bottom w:val="single" w:sz="4" w:space="0" w:color="808080"/>
              <w:right w:val="single" w:sz="4" w:space="0" w:color="808080"/>
            </w:tcBorders>
            <w:shd w:val="clear" w:color="auto" w:fill="auto"/>
            <w:vAlign w:val="center"/>
            <w:hideMark/>
          </w:tcPr>
          <w:p w14:paraId="7445FBF6" w14:textId="5AEAE103"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3BE014E3" w14:textId="51394C64"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1E8E2082" w14:textId="03B7508E" w:rsidR="00673BB8" w:rsidRPr="00CB5053" w:rsidRDefault="007745D5" w:rsidP="002D2EB8">
            <w:pPr>
              <w:jc w:val="right"/>
              <w:rPr>
                <w:rFonts w:cs="Times New Roman"/>
              </w:rPr>
            </w:pPr>
            <w:r w:rsidRPr="00CB5053">
              <w:rPr>
                <w:rFonts w:cs="Times New Roman"/>
              </w:rPr>
              <w:t>0</w:t>
            </w:r>
          </w:p>
        </w:tc>
        <w:tc>
          <w:tcPr>
            <w:tcW w:w="1520" w:type="dxa"/>
            <w:tcBorders>
              <w:top w:val="nil"/>
              <w:left w:val="nil"/>
              <w:bottom w:val="single" w:sz="4" w:space="0" w:color="808080"/>
              <w:right w:val="single" w:sz="4" w:space="0" w:color="808080"/>
            </w:tcBorders>
            <w:shd w:val="clear" w:color="auto" w:fill="auto"/>
            <w:vAlign w:val="center"/>
            <w:hideMark/>
          </w:tcPr>
          <w:p w14:paraId="4D81DF1C" w14:textId="1F841788" w:rsidR="00673BB8" w:rsidRPr="00CB5053" w:rsidRDefault="00673BB8" w:rsidP="002D2EB8">
            <w:pPr>
              <w:jc w:val="right"/>
              <w:rPr>
                <w:rFonts w:cs="Times New Roman"/>
              </w:rPr>
            </w:pPr>
            <w:r w:rsidRPr="00CB5053">
              <w:rPr>
                <w:rFonts w:cs="Times New Roman"/>
              </w:rPr>
              <w:t>0</w:t>
            </w:r>
          </w:p>
        </w:tc>
      </w:tr>
      <w:tr w:rsidR="00673BB8" w:rsidRPr="00CB5053" w14:paraId="3322395A" w14:textId="77777777" w:rsidTr="002D2EB8">
        <w:trPr>
          <w:trHeight w:hRule="exact" w:val="593"/>
          <w:jc w:val="center"/>
        </w:trPr>
        <w:tc>
          <w:tcPr>
            <w:tcW w:w="567" w:type="dxa"/>
            <w:tcBorders>
              <w:top w:val="nil"/>
              <w:left w:val="single" w:sz="4" w:space="0" w:color="808080"/>
              <w:bottom w:val="single" w:sz="4" w:space="0" w:color="808080"/>
              <w:right w:val="single" w:sz="4" w:space="0" w:color="808080"/>
            </w:tcBorders>
            <w:shd w:val="clear" w:color="auto" w:fill="auto"/>
            <w:vAlign w:val="center"/>
            <w:hideMark/>
          </w:tcPr>
          <w:p w14:paraId="18E35243" w14:textId="77777777" w:rsidR="00673BB8" w:rsidRPr="00CB5053" w:rsidRDefault="00673BB8" w:rsidP="002D2EB8">
            <w:pPr>
              <w:jc w:val="center"/>
              <w:rPr>
                <w:rFonts w:cs="Times New Roman"/>
              </w:rPr>
            </w:pPr>
            <w:r w:rsidRPr="00CB5053">
              <w:rPr>
                <w:rFonts w:cs="Times New Roman"/>
              </w:rPr>
              <w:t>15</w:t>
            </w:r>
          </w:p>
        </w:tc>
        <w:tc>
          <w:tcPr>
            <w:tcW w:w="2817" w:type="dxa"/>
            <w:tcBorders>
              <w:top w:val="nil"/>
              <w:left w:val="nil"/>
              <w:bottom w:val="single" w:sz="4" w:space="0" w:color="808080"/>
              <w:right w:val="single" w:sz="4" w:space="0" w:color="808080"/>
            </w:tcBorders>
            <w:shd w:val="clear" w:color="auto" w:fill="auto"/>
            <w:vAlign w:val="center"/>
            <w:hideMark/>
          </w:tcPr>
          <w:p w14:paraId="63D78185" w14:textId="77777777" w:rsidR="00673BB8" w:rsidRPr="00CB5053" w:rsidRDefault="00673BB8" w:rsidP="002D2EB8">
            <w:pPr>
              <w:jc w:val="both"/>
              <w:rPr>
                <w:rFonts w:cs="Times New Roman"/>
                <w:b/>
                <w:bCs/>
              </w:rPr>
            </w:pPr>
            <w:r w:rsidRPr="00CB5053">
              <w:rPr>
                <w:rFonts w:cs="Times New Roman"/>
                <w:b/>
                <w:bCs/>
              </w:rPr>
              <w:t>Tárgyévi fizetési kötelezettség</w:t>
            </w:r>
          </w:p>
        </w:tc>
        <w:tc>
          <w:tcPr>
            <w:tcW w:w="1520" w:type="dxa"/>
            <w:tcBorders>
              <w:top w:val="nil"/>
              <w:left w:val="nil"/>
              <w:bottom w:val="single" w:sz="4" w:space="0" w:color="808080"/>
              <w:right w:val="single" w:sz="4" w:space="0" w:color="808080"/>
            </w:tcBorders>
            <w:shd w:val="clear" w:color="auto" w:fill="auto"/>
            <w:vAlign w:val="center"/>
            <w:hideMark/>
          </w:tcPr>
          <w:p w14:paraId="5D90B976" w14:textId="15193B80"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1427BE29" w14:textId="6BBE681F"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53B6D9A6" w14:textId="72485AC0" w:rsidR="00673BB8" w:rsidRPr="00CB5053" w:rsidRDefault="007745D5" w:rsidP="002D2EB8">
            <w:pPr>
              <w:jc w:val="right"/>
              <w:rPr>
                <w:rFonts w:cs="Times New Roman"/>
                <w:b/>
                <w:bCs/>
              </w:rPr>
            </w:pPr>
            <w:r w:rsidRPr="00CB5053">
              <w:rPr>
                <w:rFonts w:cs="Times New Roman"/>
                <w:b/>
                <w:bCs/>
              </w:rPr>
              <w:t>0</w:t>
            </w:r>
          </w:p>
        </w:tc>
        <w:tc>
          <w:tcPr>
            <w:tcW w:w="1520" w:type="dxa"/>
            <w:tcBorders>
              <w:top w:val="nil"/>
              <w:left w:val="nil"/>
              <w:bottom w:val="single" w:sz="4" w:space="0" w:color="808080"/>
              <w:right w:val="single" w:sz="4" w:space="0" w:color="808080"/>
            </w:tcBorders>
            <w:shd w:val="clear" w:color="auto" w:fill="auto"/>
            <w:vAlign w:val="center"/>
            <w:hideMark/>
          </w:tcPr>
          <w:p w14:paraId="28C89C55" w14:textId="752D9C38" w:rsidR="00673BB8" w:rsidRPr="00CB5053" w:rsidRDefault="007745D5" w:rsidP="002D2EB8">
            <w:pPr>
              <w:jc w:val="right"/>
              <w:rPr>
                <w:rFonts w:cs="Times New Roman"/>
                <w:b/>
                <w:bCs/>
              </w:rPr>
            </w:pPr>
            <w:r w:rsidRPr="00CB5053">
              <w:rPr>
                <w:rFonts w:cs="Times New Roman"/>
                <w:b/>
                <w:bCs/>
              </w:rPr>
              <w:t>0</w:t>
            </w:r>
          </w:p>
        </w:tc>
      </w:tr>
    </w:tbl>
    <w:p w14:paraId="42FF0EAE" w14:textId="77777777" w:rsidR="00673BB8" w:rsidRPr="00CB5053" w:rsidRDefault="00673BB8" w:rsidP="00673BB8">
      <w:pPr>
        <w:pStyle w:val="Nincstrkz"/>
        <w:jc w:val="both"/>
        <w:rPr>
          <w:rFonts w:ascii="Times New Roman" w:hAnsi="Times New Roman" w:cs="Times New Roman"/>
          <w:sz w:val="24"/>
          <w:szCs w:val="24"/>
        </w:rPr>
      </w:pPr>
    </w:p>
    <w:p w14:paraId="4DE31302" w14:textId="77777777" w:rsidR="00673BB8" w:rsidRPr="00CB5053" w:rsidRDefault="00673BB8" w:rsidP="00673BB8">
      <w:pPr>
        <w:jc w:val="both"/>
        <w:rPr>
          <w:rFonts w:cs="Times New Roman"/>
          <w:b/>
        </w:rPr>
      </w:pPr>
    </w:p>
    <w:p w14:paraId="1B5D1FDA" w14:textId="77777777" w:rsidR="00673BB8" w:rsidRPr="00CB5053" w:rsidRDefault="00673BB8" w:rsidP="00673BB8">
      <w:pPr>
        <w:rPr>
          <w:rFonts w:cs="Times New Roman"/>
        </w:rPr>
      </w:pPr>
      <w:r w:rsidRPr="00CB5053">
        <w:rPr>
          <w:rFonts w:cs="Times New Roman"/>
        </w:rPr>
        <w:br w:type="page"/>
      </w:r>
    </w:p>
    <w:p w14:paraId="5E9BA5CA" w14:textId="00DF4C3F" w:rsidR="00673BB8" w:rsidRPr="00CB5053" w:rsidRDefault="007B33CE" w:rsidP="00673BB8">
      <w:pPr>
        <w:pStyle w:val="Szvegtrzs"/>
        <w:jc w:val="center"/>
        <w:rPr>
          <w:b/>
          <w:sz w:val="24"/>
          <w:szCs w:val="24"/>
        </w:rPr>
      </w:pPr>
      <w:r w:rsidRPr="00CB5053">
        <w:rPr>
          <w:b/>
          <w:sz w:val="24"/>
          <w:szCs w:val="24"/>
        </w:rPr>
        <w:lastRenderedPageBreak/>
        <w:t>Zebegény</w:t>
      </w:r>
      <w:r w:rsidR="00673BB8" w:rsidRPr="00CB5053">
        <w:rPr>
          <w:b/>
          <w:sz w:val="24"/>
          <w:szCs w:val="24"/>
        </w:rPr>
        <w:t xml:space="preserve"> Község Önkormányzatának</w:t>
      </w:r>
    </w:p>
    <w:p w14:paraId="14342E0C" w14:textId="77777777" w:rsidR="00673BB8" w:rsidRPr="00CB5053" w:rsidRDefault="00673BB8" w:rsidP="00673BB8">
      <w:pPr>
        <w:ind w:firstLine="1"/>
        <w:jc w:val="center"/>
        <w:rPr>
          <w:rFonts w:cs="Times New Roman"/>
          <w:b/>
        </w:rPr>
      </w:pPr>
      <w:r w:rsidRPr="00CB5053">
        <w:rPr>
          <w:rFonts w:cs="Times New Roman"/>
          <w:b/>
        </w:rPr>
        <w:t>Képviselő-testületének .../2025. (.... ….) számú rendeletének indokolása</w:t>
      </w:r>
    </w:p>
    <w:p w14:paraId="30D738E9" w14:textId="77777777" w:rsidR="00673BB8" w:rsidRPr="00CB5053" w:rsidRDefault="00673BB8" w:rsidP="00673BB8">
      <w:pPr>
        <w:ind w:firstLine="1"/>
        <w:jc w:val="center"/>
        <w:rPr>
          <w:rFonts w:cs="Times New Roman"/>
          <w:b/>
        </w:rPr>
      </w:pPr>
      <w:r w:rsidRPr="00CB5053">
        <w:rPr>
          <w:rFonts w:cs="Times New Roman"/>
          <w:b/>
        </w:rPr>
        <w:t>az önkormányzat 2025. évi költségvetéséről</w:t>
      </w:r>
    </w:p>
    <w:p w14:paraId="4BAEFF1C" w14:textId="77777777" w:rsidR="00673BB8" w:rsidRPr="00CB5053" w:rsidRDefault="00673BB8" w:rsidP="00673BB8">
      <w:pPr>
        <w:tabs>
          <w:tab w:val="center" w:pos="6804"/>
        </w:tabs>
        <w:rPr>
          <w:rFonts w:cs="Times New Roman"/>
          <w:b/>
          <w:caps/>
        </w:rPr>
      </w:pPr>
    </w:p>
    <w:p w14:paraId="137DC56B" w14:textId="77777777" w:rsidR="00673BB8" w:rsidRPr="00CB5053" w:rsidRDefault="00673BB8" w:rsidP="00673BB8">
      <w:pPr>
        <w:tabs>
          <w:tab w:val="center" w:pos="6804"/>
        </w:tabs>
        <w:rPr>
          <w:rFonts w:cs="Times New Roman"/>
          <w:b/>
        </w:rPr>
      </w:pPr>
      <w:r w:rsidRPr="00CB5053">
        <w:rPr>
          <w:rFonts w:cs="Times New Roman"/>
          <w:b/>
        </w:rPr>
        <w:t>1. Általános indokolás</w:t>
      </w:r>
    </w:p>
    <w:p w14:paraId="5B0B5118" w14:textId="77777777" w:rsidR="00673BB8" w:rsidRPr="00CB5053" w:rsidRDefault="00673BB8" w:rsidP="00673BB8">
      <w:pPr>
        <w:tabs>
          <w:tab w:val="center" w:pos="6804"/>
        </w:tabs>
        <w:rPr>
          <w:rFonts w:cs="Times New Roman"/>
        </w:rPr>
      </w:pPr>
    </w:p>
    <w:p w14:paraId="5C32DA89" w14:textId="79EA7779" w:rsidR="00673BB8" w:rsidRPr="00CB5053" w:rsidRDefault="00673BB8" w:rsidP="00673BB8">
      <w:pPr>
        <w:tabs>
          <w:tab w:val="center" w:pos="6804"/>
        </w:tabs>
        <w:jc w:val="both"/>
        <w:rPr>
          <w:rFonts w:cs="Times New Roman"/>
        </w:rPr>
      </w:pPr>
      <w:r w:rsidRPr="00CB5053">
        <w:rPr>
          <w:rFonts w:cs="Times New Roman"/>
        </w:rPr>
        <w:t>Az Önkormányzat 2025. évi legfontosabb feladata – a pénzügyi stabilitás szem előtt tartásával a pályázatok megvalósítása</w:t>
      </w:r>
      <w:r w:rsidR="007B33CE" w:rsidRPr="00CB5053">
        <w:rPr>
          <w:rFonts w:cs="Times New Roman"/>
        </w:rPr>
        <w:t>,</w:t>
      </w:r>
      <w:r w:rsidRPr="00CB5053">
        <w:rPr>
          <w:rFonts w:cs="Times New Roman"/>
        </w:rPr>
        <w:t xml:space="preserve"> a pénzügyi folyamatainak egyeztetése, a likviditás megőrzése. Ugyanilyen fontos feladatunk az Önkormányzat és a költségvetési szervek megfelelő működésének biztosítása annak érdekében, hogy a közszolgáltatások színvonala megfelelően szolgálja a Település igényeit.</w:t>
      </w:r>
    </w:p>
    <w:p w14:paraId="25F6AB4A" w14:textId="77777777" w:rsidR="00673BB8" w:rsidRPr="00CB5053" w:rsidRDefault="00673BB8" w:rsidP="00673BB8">
      <w:pPr>
        <w:tabs>
          <w:tab w:val="center" w:pos="6804"/>
        </w:tabs>
        <w:jc w:val="both"/>
        <w:rPr>
          <w:rFonts w:cs="Times New Roman"/>
        </w:rPr>
      </w:pPr>
    </w:p>
    <w:p w14:paraId="0315F07B" w14:textId="77777777" w:rsidR="00673BB8" w:rsidRPr="00CB5053" w:rsidRDefault="00673BB8" w:rsidP="00673BB8">
      <w:pPr>
        <w:tabs>
          <w:tab w:val="center" w:pos="6804"/>
        </w:tabs>
        <w:jc w:val="both"/>
        <w:rPr>
          <w:rFonts w:cs="Times New Roman"/>
          <w:b/>
          <w:bCs/>
        </w:rPr>
      </w:pPr>
      <w:r w:rsidRPr="00CB5053">
        <w:rPr>
          <w:rFonts w:cs="Times New Roman"/>
          <w:b/>
          <w:bCs/>
        </w:rPr>
        <w:t>2. Részletes indokolás</w:t>
      </w:r>
    </w:p>
    <w:p w14:paraId="7BB753CE" w14:textId="77777777" w:rsidR="00673BB8" w:rsidRPr="00CB5053" w:rsidRDefault="00673BB8" w:rsidP="00673BB8">
      <w:pPr>
        <w:tabs>
          <w:tab w:val="center" w:pos="6804"/>
        </w:tabs>
        <w:rPr>
          <w:rFonts w:cs="Times New Roman"/>
        </w:rPr>
      </w:pPr>
    </w:p>
    <w:p w14:paraId="4316FDB9" w14:textId="77777777" w:rsidR="00673BB8" w:rsidRPr="00CB5053" w:rsidRDefault="00673BB8" w:rsidP="00673BB8">
      <w:pPr>
        <w:tabs>
          <w:tab w:val="center" w:pos="6804"/>
        </w:tabs>
        <w:rPr>
          <w:rFonts w:cs="Times New Roman"/>
          <w:bCs/>
          <w:i/>
          <w:iCs/>
        </w:rPr>
      </w:pPr>
      <w:r w:rsidRPr="00CB5053">
        <w:rPr>
          <w:rFonts w:cs="Times New Roman"/>
          <w:bCs/>
          <w:i/>
          <w:iCs/>
        </w:rPr>
        <w:t>2.1. Az Önkormányzat költségvetési politikájának fő vonásai 2025. évben</w:t>
      </w:r>
    </w:p>
    <w:p w14:paraId="641084BC" w14:textId="77777777" w:rsidR="00673BB8" w:rsidRPr="00CB5053" w:rsidRDefault="00673BB8" w:rsidP="00673BB8">
      <w:pPr>
        <w:tabs>
          <w:tab w:val="center" w:pos="6804"/>
        </w:tabs>
        <w:rPr>
          <w:rFonts w:cs="Times New Roman"/>
        </w:rPr>
      </w:pPr>
    </w:p>
    <w:p w14:paraId="68C11B07" w14:textId="4920C443" w:rsidR="00673BB8" w:rsidRPr="00CB5053" w:rsidRDefault="00673BB8" w:rsidP="00673BB8">
      <w:pPr>
        <w:tabs>
          <w:tab w:val="center" w:pos="6804"/>
        </w:tabs>
        <w:jc w:val="both"/>
        <w:rPr>
          <w:rFonts w:cs="Times New Roman"/>
        </w:rPr>
      </w:pPr>
      <w:r w:rsidRPr="00CB5053">
        <w:rPr>
          <w:rFonts w:cs="Times New Roman"/>
        </w:rPr>
        <w:t xml:space="preserve">A költségvetési politikánk célkitűzése, hogy </w:t>
      </w:r>
      <w:r w:rsidR="007B33CE" w:rsidRPr="00CB5053">
        <w:rPr>
          <w:rFonts w:cs="Times New Roman"/>
        </w:rPr>
        <w:t>Zebegény</w:t>
      </w:r>
      <w:r w:rsidRPr="00CB5053">
        <w:rPr>
          <w:rFonts w:cs="Times New Roman"/>
        </w:rPr>
        <w:t xml:space="preserve"> pénzügyi stabilitása hosszútávon megfelelő legyen, biztosítani tudja a költségvetési szervek működésének forrásait, illetve a közfeladatok színvonalas ellátását.</w:t>
      </w:r>
    </w:p>
    <w:p w14:paraId="5336C99D" w14:textId="77777777" w:rsidR="00673BB8" w:rsidRPr="00CB5053" w:rsidRDefault="00673BB8" w:rsidP="00673BB8">
      <w:pPr>
        <w:tabs>
          <w:tab w:val="center" w:pos="6804"/>
        </w:tabs>
        <w:rPr>
          <w:rFonts w:cs="Times New Roman"/>
        </w:rPr>
      </w:pPr>
    </w:p>
    <w:p w14:paraId="77E15F5A" w14:textId="77777777" w:rsidR="00673BB8" w:rsidRPr="00CB5053" w:rsidRDefault="00673BB8" w:rsidP="00673BB8">
      <w:pPr>
        <w:tabs>
          <w:tab w:val="center" w:pos="6804"/>
        </w:tabs>
        <w:rPr>
          <w:rFonts w:cs="Times New Roman"/>
          <w:bCs/>
          <w:i/>
          <w:iCs/>
        </w:rPr>
      </w:pPr>
      <w:r w:rsidRPr="00CB5053">
        <w:rPr>
          <w:rFonts w:cs="Times New Roman"/>
          <w:bCs/>
          <w:i/>
          <w:iCs/>
        </w:rPr>
        <w:t xml:space="preserve">2.2. Az állami támogatások alakulása </w:t>
      </w:r>
    </w:p>
    <w:p w14:paraId="1C13FF4D" w14:textId="77777777" w:rsidR="00673BB8" w:rsidRPr="00CB5053" w:rsidRDefault="00673BB8" w:rsidP="00673BB8">
      <w:pPr>
        <w:tabs>
          <w:tab w:val="center" w:pos="6804"/>
        </w:tabs>
        <w:jc w:val="both"/>
        <w:rPr>
          <w:rFonts w:cs="Times New Roman"/>
        </w:rPr>
      </w:pPr>
    </w:p>
    <w:p w14:paraId="4635ED56" w14:textId="5352D26A" w:rsidR="00673BB8" w:rsidRPr="00CB5053" w:rsidRDefault="00673BB8" w:rsidP="00673BB8">
      <w:pPr>
        <w:tabs>
          <w:tab w:val="center" w:pos="6804"/>
        </w:tabs>
        <w:jc w:val="both"/>
        <w:rPr>
          <w:rFonts w:cs="Times New Roman"/>
        </w:rPr>
      </w:pPr>
      <w:r w:rsidRPr="00CB5053">
        <w:rPr>
          <w:rFonts w:cs="Times New Roman"/>
        </w:rPr>
        <w:t xml:space="preserve">A bevételek között jelentős arányt képviselnek az állami normatívák: </w:t>
      </w:r>
      <w:r w:rsidR="007B33CE" w:rsidRPr="00CB5053">
        <w:rPr>
          <w:rFonts w:cs="Times New Roman"/>
        </w:rPr>
        <w:t>3</w:t>
      </w:r>
      <w:r w:rsidR="00D3542C">
        <w:rPr>
          <w:rFonts w:cs="Times New Roman"/>
        </w:rPr>
        <w:t>4</w:t>
      </w:r>
      <w:r w:rsidRPr="00CB5053">
        <w:rPr>
          <w:rFonts w:cs="Times New Roman"/>
        </w:rPr>
        <w:t>%-ot. Éppen ezért mindent meg kell tennünk, hogy ezt a bevételi forrást is a lehető legnagyobb mértékben növeljük meg (figyelembe véve az elszámolásával kapcsolatos kötelezettségeket).</w:t>
      </w:r>
    </w:p>
    <w:p w14:paraId="1DDED735" w14:textId="77777777" w:rsidR="00673BB8" w:rsidRPr="00CB5053" w:rsidRDefault="00673BB8" w:rsidP="00673BB8">
      <w:pPr>
        <w:tabs>
          <w:tab w:val="center" w:pos="6804"/>
        </w:tabs>
        <w:jc w:val="both"/>
        <w:rPr>
          <w:rFonts w:cs="Times New Roman"/>
        </w:rPr>
      </w:pPr>
    </w:p>
    <w:p w14:paraId="53F02760" w14:textId="77777777" w:rsidR="00673BB8" w:rsidRPr="00CB5053" w:rsidRDefault="00673BB8" w:rsidP="00673BB8">
      <w:pPr>
        <w:tabs>
          <w:tab w:val="center" w:pos="6804"/>
        </w:tabs>
        <w:jc w:val="both"/>
        <w:rPr>
          <w:rFonts w:cs="Times New Roman"/>
          <w:bCs/>
          <w:i/>
          <w:iCs/>
        </w:rPr>
      </w:pPr>
      <w:r w:rsidRPr="00CB5053">
        <w:rPr>
          <w:rFonts w:cs="Times New Roman"/>
          <w:bCs/>
          <w:i/>
          <w:iCs/>
        </w:rPr>
        <w:t>2.3. Az önkormányzat költségvetésének előirányzatai</w:t>
      </w:r>
    </w:p>
    <w:p w14:paraId="3F237E0B" w14:textId="77777777" w:rsidR="00673BB8" w:rsidRPr="00CB5053" w:rsidRDefault="00673BB8" w:rsidP="00673BB8">
      <w:pPr>
        <w:tabs>
          <w:tab w:val="center" w:pos="6804"/>
        </w:tabs>
        <w:jc w:val="both"/>
        <w:rPr>
          <w:rFonts w:cs="Times New Roman"/>
        </w:rPr>
      </w:pPr>
    </w:p>
    <w:p w14:paraId="05AEEF39" w14:textId="77777777" w:rsidR="007B33CE" w:rsidRPr="00CB5053" w:rsidRDefault="007B33CE" w:rsidP="007B33CE">
      <w:pPr>
        <w:tabs>
          <w:tab w:val="center" w:pos="6804"/>
        </w:tabs>
        <w:jc w:val="center"/>
        <w:rPr>
          <w:rFonts w:cs="Times New Roman"/>
          <w:b/>
          <w:bCs/>
        </w:rPr>
      </w:pPr>
      <w:r w:rsidRPr="00CB5053">
        <w:rPr>
          <w:rFonts w:cs="Times New Roman"/>
          <w:b/>
          <w:bCs/>
        </w:rPr>
        <w:t>1. számú táblázat</w:t>
      </w:r>
    </w:p>
    <w:p w14:paraId="231C0426" w14:textId="77777777" w:rsidR="007B33CE" w:rsidRPr="00CB5053" w:rsidRDefault="007B33CE" w:rsidP="007B33CE">
      <w:pPr>
        <w:tabs>
          <w:tab w:val="center" w:pos="6804"/>
        </w:tabs>
        <w:jc w:val="center"/>
        <w:rPr>
          <w:rFonts w:cs="Times New Roman"/>
        </w:rPr>
      </w:pPr>
      <w:r w:rsidRPr="00CB5053">
        <w:rPr>
          <w:rFonts w:cs="Times New Roman"/>
        </w:rPr>
        <w:t>A 2025. évi költségvetési bevételek rovatonként</w:t>
      </w:r>
    </w:p>
    <w:p w14:paraId="04D7E041" w14:textId="77777777" w:rsidR="007B33CE" w:rsidRPr="00CB5053" w:rsidRDefault="007B33CE" w:rsidP="007B33CE">
      <w:pPr>
        <w:tabs>
          <w:tab w:val="center" w:pos="6804"/>
        </w:tabs>
        <w:jc w:val="both"/>
        <w:rPr>
          <w:rFonts w:cs="Times New Roman"/>
        </w:rPr>
      </w:pPr>
    </w:p>
    <w:tbl>
      <w:tblPr>
        <w:tblW w:w="9634" w:type="dxa"/>
        <w:tblCellMar>
          <w:left w:w="70" w:type="dxa"/>
          <w:right w:w="70" w:type="dxa"/>
        </w:tblCellMar>
        <w:tblLook w:val="04A0" w:firstRow="1" w:lastRow="0" w:firstColumn="1" w:lastColumn="0" w:noHBand="0" w:noVBand="1"/>
      </w:tblPr>
      <w:tblGrid>
        <w:gridCol w:w="380"/>
        <w:gridCol w:w="891"/>
        <w:gridCol w:w="5954"/>
        <w:gridCol w:w="2409"/>
      </w:tblGrid>
      <w:tr w:rsidR="007B33CE" w:rsidRPr="00CB5053" w14:paraId="20D74AF6" w14:textId="77777777" w:rsidTr="002D2EB8">
        <w:trPr>
          <w:trHeight w:val="315"/>
        </w:trPr>
        <w:tc>
          <w:tcPr>
            <w:tcW w:w="3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8C2C4CC" w14:textId="77777777" w:rsidR="007B33CE" w:rsidRPr="00CB5053" w:rsidRDefault="007B33CE" w:rsidP="002D2EB8">
            <w:pPr>
              <w:jc w:val="center"/>
              <w:rPr>
                <w:rFonts w:cs="Times New Roman"/>
                <w:color w:val="000000"/>
              </w:rPr>
            </w:pPr>
            <w:r w:rsidRPr="00CB5053">
              <w:rPr>
                <w:rFonts w:cs="Times New Roman"/>
                <w:color w:val="000000"/>
              </w:rPr>
              <w:t> </w:t>
            </w:r>
          </w:p>
        </w:tc>
        <w:tc>
          <w:tcPr>
            <w:tcW w:w="891" w:type="dxa"/>
            <w:tcBorders>
              <w:top w:val="single" w:sz="4" w:space="0" w:color="808080"/>
              <w:left w:val="nil"/>
              <w:bottom w:val="single" w:sz="4" w:space="0" w:color="808080"/>
              <w:right w:val="single" w:sz="4" w:space="0" w:color="808080"/>
            </w:tcBorders>
            <w:shd w:val="clear" w:color="auto" w:fill="auto"/>
            <w:noWrap/>
            <w:vAlign w:val="center"/>
            <w:hideMark/>
          </w:tcPr>
          <w:p w14:paraId="1304C63D" w14:textId="77777777" w:rsidR="007B33CE" w:rsidRPr="00CB5053" w:rsidRDefault="007B33CE" w:rsidP="002D2EB8">
            <w:pPr>
              <w:jc w:val="center"/>
              <w:rPr>
                <w:rFonts w:cs="Times New Roman"/>
                <w:color w:val="000000"/>
              </w:rPr>
            </w:pPr>
            <w:r w:rsidRPr="00CB5053">
              <w:rPr>
                <w:rFonts w:cs="Times New Roman"/>
                <w:color w:val="000000"/>
              </w:rPr>
              <w:t>A</w:t>
            </w:r>
          </w:p>
        </w:tc>
        <w:tc>
          <w:tcPr>
            <w:tcW w:w="5954" w:type="dxa"/>
            <w:tcBorders>
              <w:top w:val="single" w:sz="4" w:space="0" w:color="808080"/>
              <w:left w:val="nil"/>
              <w:bottom w:val="single" w:sz="4" w:space="0" w:color="808080"/>
              <w:right w:val="single" w:sz="4" w:space="0" w:color="808080"/>
            </w:tcBorders>
            <w:shd w:val="clear" w:color="auto" w:fill="auto"/>
            <w:noWrap/>
            <w:vAlign w:val="center"/>
            <w:hideMark/>
          </w:tcPr>
          <w:p w14:paraId="3935DCDD" w14:textId="77777777" w:rsidR="007B33CE" w:rsidRPr="00CB5053" w:rsidRDefault="007B33CE" w:rsidP="002D2EB8">
            <w:pPr>
              <w:jc w:val="center"/>
              <w:rPr>
                <w:rFonts w:cs="Times New Roman"/>
                <w:color w:val="000000"/>
              </w:rPr>
            </w:pPr>
            <w:r w:rsidRPr="00CB5053">
              <w:rPr>
                <w:rFonts w:cs="Times New Roman"/>
                <w:color w:val="000000"/>
              </w:rPr>
              <w:t>B</w:t>
            </w:r>
          </w:p>
        </w:tc>
        <w:tc>
          <w:tcPr>
            <w:tcW w:w="2409" w:type="dxa"/>
            <w:tcBorders>
              <w:top w:val="single" w:sz="4" w:space="0" w:color="808080"/>
              <w:left w:val="nil"/>
              <w:bottom w:val="single" w:sz="4" w:space="0" w:color="808080"/>
              <w:right w:val="single" w:sz="4" w:space="0" w:color="808080"/>
            </w:tcBorders>
            <w:shd w:val="clear" w:color="auto" w:fill="auto"/>
            <w:noWrap/>
            <w:vAlign w:val="center"/>
            <w:hideMark/>
          </w:tcPr>
          <w:p w14:paraId="6266E7CB" w14:textId="77777777" w:rsidR="007B33CE" w:rsidRPr="00CB5053" w:rsidRDefault="007B33CE" w:rsidP="002D2EB8">
            <w:pPr>
              <w:jc w:val="center"/>
              <w:rPr>
                <w:rFonts w:cs="Times New Roman"/>
                <w:color w:val="000000"/>
              </w:rPr>
            </w:pPr>
            <w:r w:rsidRPr="00CB5053">
              <w:rPr>
                <w:rFonts w:cs="Times New Roman"/>
                <w:color w:val="000000"/>
              </w:rPr>
              <w:t>C</w:t>
            </w:r>
          </w:p>
        </w:tc>
      </w:tr>
      <w:tr w:rsidR="007B33CE" w:rsidRPr="00CB5053" w14:paraId="631880D4" w14:textId="77777777" w:rsidTr="002D2EB8">
        <w:trPr>
          <w:trHeight w:val="630"/>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E638EA3" w14:textId="77777777" w:rsidR="007B33CE" w:rsidRPr="00CB5053" w:rsidRDefault="007B33CE" w:rsidP="002D2EB8">
            <w:pPr>
              <w:jc w:val="center"/>
              <w:rPr>
                <w:rFonts w:cs="Times New Roman"/>
                <w:color w:val="000000"/>
              </w:rPr>
            </w:pPr>
            <w:r w:rsidRPr="00CB5053">
              <w:rPr>
                <w:rFonts w:cs="Times New Roman"/>
                <w:color w:val="000000"/>
              </w:rPr>
              <w:t>1</w:t>
            </w:r>
          </w:p>
        </w:tc>
        <w:tc>
          <w:tcPr>
            <w:tcW w:w="891" w:type="dxa"/>
            <w:tcBorders>
              <w:top w:val="nil"/>
              <w:left w:val="nil"/>
              <w:bottom w:val="single" w:sz="4" w:space="0" w:color="808080"/>
              <w:right w:val="single" w:sz="4" w:space="0" w:color="808080"/>
            </w:tcBorders>
            <w:shd w:val="clear" w:color="auto" w:fill="auto"/>
            <w:noWrap/>
            <w:vAlign w:val="center"/>
            <w:hideMark/>
          </w:tcPr>
          <w:p w14:paraId="4C640A29" w14:textId="77777777" w:rsidR="007B33CE" w:rsidRPr="00CB5053" w:rsidRDefault="007B33CE" w:rsidP="002D2EB8">
            <w:pPr>
              <w:jc w:val="center"/>
              <w:rPr>
                <w:rFonts w:cs="Times New Roman"/>
                <w:b/>
                <w:bCs/>
                <w:color w:val="000000"/>
              </w:rPr>
            </w:pPr>
            <w:r w:rsidRPr="00CB5053">
              <w:rPr>
                <w:rFonts w:cs="Times New Roman"/>
                <w:b/>
                <w:bCs/>
                <w:color w:val="000000"/>
              </w:rPr>
              <w:t>Rovat</w:t>
            </w:r>
          </w:p>
        </w:tc>
        <w:tc>
          <w:tcPr>
            <w:tcW w:w="5954" w:type="dxa"/>
            <w:tcBorders>
              <w:top w:val="nil"/>
              <w:left w:val="nil"/>
              <w:bottom w:val="single" w:sz="4" w:space="0" w:color="808080"/>
              <w:right w:val="single" w:sz="4" w:space="0" w:color="808080"/>
            </w:tcBorders>
            <w:shd w:val="clear" w:color="auto" w:fill="auto"/>
            <w:vAlign w:val="center"/>
            <w:hideMark/>
          </w:tcPr>
          <w:p w14:paraId="34E6A5FB" w14:textId="77777777" w:rsidR="007B33CE" w:rsidRPr="00CB5053" w:rsidRDefault="007B33CE" w:rsidP="002D2EB8">
            <w:pPr>
              <w:jc w:val="center"/>
              <w:rPr>
                <w:rFonts w:cs="Times New Roman"/>
                <w:b/>
                <w:bCs/>
                <w:color w:val="000000"/>
              </w:rPr>
            </w:pPr>
            <w:r w:rsidRPr="00CB5053">
              <w:rPr>
                <w:rFonts w:cs="Times New Roman"/>
                <w:b/>
                <w:bCs/>
                <w:color w:val="000000"/>
              </w:rPr>
              <w:t>Bevételi előirányzatok</w:t>
            </w:r>
          </w:p>
        </w:tc>
        <w:tc>
          <w:tcPr>
            <w:tcW w:w="2409" w:type="dxa"/>
            <w:tcBorders>
              <w:top w:val="nil"/>
              <w:left w:val="nil"/>
              <w:bottom w:val="single" w:sz="4" w:space="0" w:color="808080"/>
              <w:right w:val="single" w:sz="4" w:space="0" w:color="808080"/>
            </w:tcBorders>
            <w:shd w:val="clear" w:color="auto" w:fill="auto"/>
            <w:vAlign w:val="center"/>
            <w:hideMark/>
          </w:tcPr>
          <w:p w14:paraId="0F7A54EB" w14:textId="77777777" w:rsidR="007B33CE" w:rsidRPr="00CB5053" w:rsidRDefault="007B33CE" w:rsidP="002D2EB8">
            <w:pPr>
              <w:jc w:val="center"/>
              <w:rPr>
                <w:rFonts w:cs="Times New Roman"/>
                <w:b/>
                <w:bCs/>
                <w:color w:val="000000"/>
              </w:rPr>
            </w:pPr>
            <w:r w:rsidRPr="00CB5053">
              <w:rPr>
                <w:rFonts w:cs="Times New Roman"/>
                <w:b/>
                <w:bCs/>
                <w:color w:val="000000"/>
              </w:rPr>
              <w:t>2025. évi előirányzat</w:t>
            </w:r>
          </w:p>
        </w:tc>
      </w:tr>
      <w:tr w:rsidR="007B33CE" w:rsidRPr="00CB5053" w14:paraId="5CBEB50F"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3E132D77" w14:textId="77777777" w:rsidR="007B33CE" w:rsidRPr="00CB5053" w:rsidRDefault="007B33CE" w:rsidP="002D2EB8">
            <w:pPr>
              <w:jc w:val="center"/>
              <w:rPr>
                <w:rFonts w:cs="Times New Roman"/>
                <w:color w:val="000000"/>
              </w:rPr>
            </w:pPr>
            <w:r w:rsidRPr="00CB5053">
              <w:rPr>
                <w:rFonts w:cs="Times New Roman"/>
                <w:color w:val="000000"/>
              </w:rPr>
              <w:t>2</w:t>
            </w:r>
          </w:p>
        </w:tc>
        <w:tc>
          <w:tcPr>
            <w:tcW w:w="891" w:type="dxa"/>
            <w:tcBorders>
              <w:top w:val="nil"/>
              <w:left w:val="nil"/>
              <w:bottom w:val="single" w:sz="4" w:space="0" w:color="808080"/>
              <w:right w:val="single" w:sz="4" w:space="0" w:color="808080"/>
            </w:tcBorders>
            <w:shd w:val="clear" w:color="auto" w:fill="auto"/>
            <w:noWrap/>
            <w:vAlign w:val="center"/>
            <w:hideMark/>
          </w:tcPr>
          <w:p w14:paraId="00C41004" w14:textId="77777777" w:rsidR="007B33CE" w:rsidRPr="00CB5053" w:rsidRDefault="007B33CE" w:rsidP="002D2EB8">
            <w:pPr>
              <w:jc w:val="center"/>
              <w:rPr>
                <w:rFonts w:cs="Times New Roman"/>
                <w:color w:val="000000"/>
              </w:rPr>
            </w:pPr>
            <w:r w:rsidRPr="00CB5053">
              <w:rPr>
                <w:rFonts w:cs="Times New Roman"/>
                <w:color w:val="000000"/>
              </w:rPr>
              <w:t>B1</w:t>
            </w:r>
          </w:p>
        </w:tc>
        <w:tc>
          <w:tcPr>
            <w:tcW w:w="5954" w:type="dxa"/>
            <w:tcBorders>
              <w:top w:val="nil"/>
              <w:left w:val="nil"/>
              <w:bottom w:val="single" w:sz="4" w:space="0" w:color="808080"/>
              <w:right w:val="single" w:sz="4" w:space="0" w:color="808080"/>
            </w:tcBorders>
            <w:shd w:val="clear" w:color="auto" w:fill="auto"/>
            <w:noWrap/>
            <w:vAlign w:val="center"/>
            <w:hideMark/>
          </w:tcPr>
          <w:p w14:paraId="7CA71E80" w14:textId="77777777" w:rsidR="007B33CE" w:rsidRPr="00CB5053" w:rsidRDefault="007B33CE" w:rsidP="002D2EB8">
            <w:pPr>
              <w:rPr>
                <w:rFonts w:cs="Times New Roman"/>
                <w:color w:val="000000"/>
              </w:rPr>
            </w:pPr>
            <w:r w:rsidRPr="00CB5053">
              <w:rPr>
                <w:rFonts w:cs="Times New Roman"/>
                <w:color w:val="000000"/>
              </w:rPr>
              <w:t>Működési célú támogatások ÁH-n belülről</w:t>
            </w:r>
          </w:p>
        </w:tc>
        <w:tc>
          <w:tcPr>
            <w:tcW w:w="2409" w:type="dxa"/>
            <w:tcBorders>
              <w:top w:val="nil"/>
              <w:left w:val="nil"/>
              <w:bottom w:val="single" w:sz="4" w:space="0" w:color="808080"/>
              <w:right w:val="single" w:sz="4" w:space="0" w:color="808080"/>
            </w:tcBorders>
            <w:shd w:val="clear" w:color="auto" w:fill="auto"/>
            <w:noWrap/>
            <w:vAlign w:val="center"/>
          </w:tcPr>
          <w:p w14:paraId="324A056B" w14:textId="7774F6A6" w:rsidR="007B33CE" w:rsidRPr="00CB5053" w:rsidRDefault="00D3542C" w:rsidP="002D2EB8">
            <w:pPr>
              <w:jc w:val="right"/>
              <w:rPr>
                <w:rFonts w:cs="Times New Roman"/>
                <w:color w:val="000000"/>
              </w:rPr>
            </w:pPr>
            <w:r>
              <w:rPr>
                <w:rFonts w:cs="Times New Roman"/>
                <w:color w:val="000000"/>
              </w:rPr>
              <w:t>219.924.863</w:t>
            </w:r>
            <w:r w:rsidR="007B33CE" w:rsidRPr="00CB5053">
              <w:rPr>
                <w:rFonts w:cs="Times New Roman"/>
                <w:color w:val="000000"/>
              </w:rPr>
              <w:t xml:space="preserve"> Ft</w:t>
            </w:r>
          </w:p>
        </w:tc>
      </w:tr>
      <w:tr w:rsidR="007B33CE" w:rsidRPr="00CB5053" w14:paraId="38C6B0D0"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B34DC77" w14:textId="77777777" w:rsidR="007B33CE" w:rsidRPr="00CB5053" w:rsidRDefault="007B33CE" w:rsidP="002D2EB8">
            <w:pPr>
              <w:jc w:val="center"/>
              <w:rPr>
                <w:rFonts w:cs="Times New Roman"/>
                <w:color w:val="000000"/>
              </w:rPr>
            </w:pPr>
            <w:r w:rsidRPr="00CB5053">
              <w:rPr>
                <w:rFonts w:cs="Times New Roman"/>
                <w:color w:val="000000"/>
              </w:rPr>
              <w:t>3</w:t>
            </w:r>
          </w:p>
        </w:tc>
        <w:tc>
          <w:tcPr>
            <w:tcW w:w="891" w:type="dxa"/>
            <w:tcBorders>
              <w:top w:val="nil"/>
              <w:left w:val="nil"/>
              <w:bottom w:val="single" w:sz="4" w:space="0" w:color="808080"/>
              <w:right w:val="single" w:sz="4" w:space="0" w:color="808080"/>
            </w:tcBorders>
            <w:shd w:val="clear" w:color="auto" w:fill="auto"/>
            <w:noWrap/>
            <w:vAlign w:val="center"/>
            <w:hideMark/>
          </w:tcPr>
          <w:p w14:paraId="55FA76CE" w14:textId="77777777" w:rsidR="007B33CE" w:rsidRPr="00CB5053" w:rsidRDefault="007B33CE" w:rsidP="002D2EB8">
            <w:pPr>
              <w:jc w:val="center"/>
              <w:rPr>
                <w:rFonts w:cs="Times New Roman"/>
                <w:color w:val="000000"/>
              </w:rPr>
            </w:pPr>
            <w:r w:rsidRPr="00CB5053">
              <w:rPr>
                <w:rFonts w:cs="Times New Roman"/>
                <w:color w:val="000000"/>
              </w:rPr>
              <w:t>B2</w:t>
            </w:r>
          </w:p>
        </w:tc>
        <w:tc>
          <w:tcPr>
            <w:tcW w:w="5954" w:type="dxa"/>
            <w:tcBorders>
              <w:top w:val="nil"/>
              <w:left w:val="nil"/>
              <w:bottom w:val="single" w:sz="4" w:space="0" w:color="808080"/>
              <w:right w:val="single" w:sz="4" w:space="0" w:color="808080"/>
            </w:tcBorders>
            <w:shd w:val="clear" w:color="auto" w:fill="auto"/>
            <w:noWrap/>
            <w:vAlign w:val="center"/>
            <w:hideMark/>
          </w:tcPr>
          <w:p w14:paraId="04AC91CF" w14:textId="77777777" w:rsidR="007B33CE" w:rsidRPr="00CB5053" w:rsidRDefault="007B33CE" w:rsidP="002D2EB8">
            <w:pPr>
              <w:rPr>
                <w:rFonts w:cs="Times New Roman"/>
                <w:color w:val="000000"/>
              </w:rPr>
            </w:pPr>
            <w:r w:rsidRPr="00CB5053">
              <w:rPr>
                <w:rFonts w:cs="Times New Roman"/>
                <w:color w:val="000000"/>
              </w:rPr>
              <w:t>Felhalmozási célú támogatások ÁH-n belülről</w:t>
            </w:r>
          </w:p>
        </w:tc>
        <w:tc>
          <w:tcPr>
            <w:tcW w:w="2409" w:type="dxa"/>
            <w:tcBorders>
              <w:top w:val="nil"/>
              <w:left w:val="nil"/>
              <w:bottom w:val="single" w:sz="4" w:space="0" w:color="808080"/>
              <w:right w:val="single" w:sz="4" w:space="0" w:color="808080"/>
            </w:tcBorders>
            <w:shd w:val="clear" w:color="auto" w:fill="auto"/>
            <w:noWrap/>
            <w:vAlign w:val="center"/>
          </w:tcPr>
          <w:p w14:paraId="6B6264EC" w14:textId="77777777" w:rsidR="007B33CE" w:rsidRPr="00CB5053" w:rsidRDefault="007B33CE" w:rsidP="002D2EB8">
            <w:pPr>
              <w:jc w:val="right"/>
              <w:rPr>
                <w:rFonts w:cs="Times New Roman"/>
                <w:color w:val="000000"/>
              </w:rPr>
            </w:pPr>
            <w:r w:rsidRPr="00CB5053">
              <w:rPr>
                <w:rFonts w:cs="Times New Roman"/>
                <w:color w:val="000000"/>
              </w:rPr>
              <w:t>149.200.600 Ft</w:t>
            </w:r>
          </w:p>
        </w:tc>
      </w:tr>
      <w:tr w:rsidR="007B33CE" w:rsidRPr="00CB5053" w14:paraId="7B1D0498"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3979F7CD" w14:textId="77777777" w:rsidR="007B33CE" w:rsidRPr="00CB5053" w:rsidRDefault="007B33CE" w:rsidP="002D2EB8">
            <w:pPr>
              <w:jc w:val="center"/>
              <w:rPr>
                <w:rFonts w:cs="Times New Roman"/>
                <w:color w:val="000000"/>
              </w:rPr>
            </w:pPr>
            <w:r w:rsidRPr="00CB5053">
              <w:rPr>
                <w:rFonts w:cs="Times New Roman"/>
                <w:color w:val="000000"/>
              </w:rPr>
              <w:t>4</w:t>
            </w:r>
          </w:p>
        </w:tc>
        <w:tc>
          <w:tcPr>
            <w:tcW w:w="891" w:type="dxa"/>
            <w:tcBorders>
              <w:top w:val="nil"/>
              <w:left w:val="nil"/>
              <w:bottom w:val="single" w:sz="4" w:space="0" w:color="808080"/>
              <w:right w:val="single" w:sz="4" w:space="0" w:color="808080"/>
            </w:tcBorders>
            <w:shd w:val="clear" w:color="auto" w:fill="auto"/>
            <w:noWrap/>
            <w:vAlign w:val="center"/>
            <w:hideMark/>
          </w:tcPr>
          <w:p w14:paraId="17243DF4" w14:textId="77777777" w:rsidR="007B33CE" w:rsidRPr="00CB5053" w:rsidRDefault="007B33CE" w:rsidP="002D2EB8">
            <w:pPr>
              <w:jc w:val="center"/>
              <w:rPr>
                <w:rFonts w:cs="Times New Roman"/>
                <w:color w:val="000000"/>
              </w:rPr>
            </w:pPr>
            <w:r w:rsidRPr="00CB5053">
              <w:rPr>
                <w:rFonts w:cs="Times New Roman"/>
                <w:color w:val="000000"/>
              </w:rPr>
              <w:t>B3</w:t>
            </w:r>
          </w:p>
        </w:tc>
        <w:tc>
          <w:tcPr>
            <w:tcW w:w="5954" w:type="dxa"/>
            <w:tcBorders>
              <w:top w:val="nil"/>
              <w:left w:val="nil"/>
              <w:bottom w:val="single" w:sz="4" w:space="0" w:color="808080"/>
              <w:right w:val="single" w:sz="4" w:space="0" w:color="808080"/>
            </w:tcBorders>
            <w:shd w:val="clear" w:color="auto" w:fill="auto"/>
            <w:noWrap/>
            <w:vAlign w:val="center"/>
            <w:hideMark/>
          </w:tcPr>
          <w:p w14:paraId="6469823F" w14:textId="77777777" w:rsidR="007B33CE" w:rsidRPr="00CB5053" w:rsidRDefault="007B33CE" w:rsidP="002D2EB8">
            <w:pPr>
              <w:rPr>
                <w:rFonts w:cs="Times New Roman"/>
                <w:color w:val="000000"/>
              </w:rPr>
            </w:pPr>
            <w:r w:rsidRPr="00CB5053">
              <w:rPr>
                <w:rFonts w:cs="Times New Roman"/>
                <w:color w:val="000000"/>
              </w:rPr>
              <w:t>Közhatalmi bevételek</w:t>
            </w:r>
          </w:p>
        </w:tc>
        <w:tc>
          <w:tcPr>
            <w:tcW w:w="2409" w:type="dxa"/>
            <w:tcBorders>
              <w:top w:val="nil"/>
              <w:left w:val="nil"/>
              <w:bottom w:val="single" w:sz="4" w:space="0" w:color="808080"/>
              <w:right w:val="single" w:sz="4" w:space="0" w:color="808080"/>
            </w:tcBorders>
            <w:shd w:val="clear" w:color="auto" w:fill="auto"/>
            <w:noWrap/>
            <w:vAlign w:val="center"/>
          </w:tcPr>
          <w:p w14:paraId="3EB6851A" w14:textId="77777777" w:rsidR="007B33CE" w:rsidRPr="00CB5053" w:rsidRDefault="007B33CE" w:rsidP="002D2EB8">
            <w:pPr>
              <w:jc w:val="right"/>
              <w:rPr>
                <w:rFonts w:cs="Times New Roman"/>
                <w:color w:val="000000"/>
              </w:rPr>
            </w:pPr>
            <w:r w:rsidRPr="00CB5053">
              <w:rPr>
                <w:rFonts w:cs="Times New Roman"/>
                <w:color w:val="000000"/>
              </w:rPr>
              <w:t>93.700.000 Ft</w:t>
            </w:r>
          </w:p>
        </w:tc>
      </w:tr>
      <w:tr w:rsidR="007B33CE" w:rsidRPr="00CB5053" w14:paraId="321F7F97"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2346265E" w14:textId="77777777" w:rsidR="007B33CE" w:rsidRPr="00CB5053" w:rsidRDefault="007B33CE" w:rsidP="002D2EB8">
            <w:pPr>
              <w:jc w:val="center"/>
              <w:rPr>
                <w:rFonts w:cs="Times New Roman"/>
                <w:color w:val="000000"/>
              </w:rPr>
            </w:pPr>
            <w:r w:rsidRPr="00CB5053">
              <w:rPr>
                <w:rFonts w:cs="Times New Roman"/>
                <w:color w:val="000000"/>
              </w:rPr>
              <w:t>5</w:t>
            </w:r>
          </w:p>
        </w:tc>
        <w:tc>
          <w:tcPr>
            <w:tcW w:w="891" w:type="dxa"/>
            <w:tcBorders>
              <w:top w:val="nil"/>
              <w:left w:val="nil"/>
              <w:bottom w:val="single" w:sz="4" w:space="0" w:color="808080"/>
              <w:right w:val="single" w:sz="4" w:space="0" w:color="808080"/>
            </w:tcBorders>
            <w:shd w:val="clear" w:color="auto" w:fill="auto"/>
            <w:noWrap/>
            <w:vAlign w:val="center"/>
            <w:hideMark/>
          </w:tcPr>
          <w:p w14:paraId="553AB465" w14:textId="77777777" w:rsidR="007B33CE" w:rsidRPr="00CB5053" w:rsidRDefault="007B33CE" w:rsidP="002D2EB8">
            <w:pPr>
              <w:jc w:val="center"/>
              <w:rPr>
                <w:rFonts w:cs="Times New Roman"/>
                <w:color w:val="000000"/>
              </w:rPr>
            </w:pPr>
            <w:r w:rsidRPr="00CB5053">
              <w:rPr>
                <w:rFonts w:cs="Times New Roman"/>
                <w:color w:val="000000"/>
              </w:rPr>
              <w:t>B4</w:t>
            </w:r>
          </w:p>
        </w:tc>
        <w:tc>
          <w:tcPr>
            <w:tcW w:w="5954" w:type="dxa"/>
            <w:tcBorders>
              <w:top w:val="nil"/>
              <w:left w:val="nil"/>
              <w:bottom w:val="single" w:sz="4" w:space="0" w:color="808080"/>
              <w:right w:val="single" w:sz="4" w:space="0" w:color="808080"/>
            </w:tcBorders>
            <w:shd w:val="clear" w:color="auto" w:fill="auto"/>
            <w:noWrap/>
            <w:vAlign w:val="center"/>
            <w:hideMark/>
          </w:tcPr>
          <w:p w14:paraId="48277523" w14:textId="77777777" w:rsidR="007B33CE" w:rsidRPr="00CB5053" w:rsidRDefault="007B33CE" w:rsidP="002D2EB8">
            <w:pPr>
              <w:rPr>
                <w:rFonts w:cs="Times New Roman"/>
                <w:color w:val="000000"/>
              </w:rPr>
            </w:pPr>
            <w:r w:rsidRPr="00CB5053">
              <w:rPr>
                <w:rFonts w:cs="Times New Roman"/>
                <w:color w:val="000000"/>
              </w:rPr>
              <w:t>Működési bevételek</w:t>
            </w:r>
          </w:p>
        </w:tc>
        <w:tc>
          <w:tcPr>
            <w:tcW w:w="2409" w:type="dxa"/>
            <w:tcBorders>
              <w:top w:val="nil"/>
              <w:left w:val="nil"/>
              <w:bottom w:val="single" w:sz="4" w:space="0" w:color="808080"/>
              <w:right w:val="single" w:sz="4" w:space="0" w:color="808080"/>
            </w:tcBorders>
            <w:shd w:val="clear" w:color="auto" w:fill="auto"/>
            <w:noWrap/>
            <w:vAlign w:val="center"/>
          </w:tcPr>
          <w:p w14:paraId="2CC58F84" w14:textId="77777777" w:rsidR="007B33CE" w:rsidRPr="00CB5053" w:rsidRDefault="007B33CE" w:rsidP="002D2EB8">
            <w:pPr>
              <w:jc w:val="right"/>
              <w:rPr>
                <w:rFonts w:cs="Times New Roman"/>
                <w:color w:val="000000"/>
              </w:rPr>
            </w:pPr>
            <w:r w:rsidRPr="00CB5053">
              <w:rPr>
                <w:rFonts w:cs="Times New Roman"/>
                <w:color w:val="000000"/>
              </w:rPr>
              <w:t>64.125.943 Ft</w:t>
            </w:r>
          </w:p>
        </w:tc>
      </w:tr>
      <w:tr w:rsidR="007B33CE" w:rsidRPr="00CB5053" w14:paraId="7658A658"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D6E8604" w14:textId="77777777" w:rsidR="007B33CE" w:rsidRPr="00CB5053" w:rsidRDefault="007B33CE" w:rsidP="002D2EB8">
            <w:pPr>
              <w:jc w:val="center"/>
              <w:rPr>
                <w:rFonts w:cs="Times New Roman"/>
                <w:color w:val="000000"/>
              </w:rPr>
            </w:pPr>
            <w:r w:rsidRPr="00CB5053">
              <w:rPr>
                <w:rFonts w:cs="Times New Roman"/>
                <w:color w:val="000000"/>
              </w:rPr>
              <w:t>6</w:t>
            </w:r>
          </w:p>
        </w:tc>
        <w:tc>
          <w:tcPr>
            <w:tcW w:w="891" w:type="dxa"/>
            <w:tcBorders>
              <w:top w:val="nil"/>
              <w:left w:val="nil"/>
              <w:bottom w:val="single" w:sz="4" w:space="0" w:color="808080"/>
              <w:right w:val="single" w:sz="4" w:space="0" w:color="808080"/>
            </w:tcBorders>
            <w:shd w:val="clear" w:color="auto" w:fill="auto"/>
            <w:noWrap/>
            <w:vAlign w:val="center"/>
            <w:hideMark/>
          </w:tcPr>
          <w:p w14:paraId="14183035" w14:textId="77777777" w:rsidR="007B33CE" w:rsidRPr="00CB5053" w:rsidRDefault="007B33CE" w:rsidP="002D2EB8">
            <w:pPr>
              <w:jc w:val="center"/>
              <w:rPr>
                <w:rFonts w:cs="Times New Roman"/>
                <w:color w:val="000000"/>
              </w:rPr>
            </w:pPr>
            <w:r w:rsidRPr="00CB5053">
              <w:rPr>
                <w:rFonts w:cs="Times New Roman"/>
                <w:color w:val="000000"/>
              </w:rPr>
              <w:t>B5</w:t>
            </w:r>
          </w:p>
        </w:tc>
        <w:tc>
          <w:tcPr>
            <w:tcW w:w="5954" w:type="dxa"/>
            <w:tcBorders>
              <w:top w:val="nil"/>
              <w:left w:val="nil"/>
              <w:bottom w:val="single" w:sz="4" w:space="0" w:color="808080"/>
              <w:right w:val="single" w:sz="4" w:space="0" w:color="808080"/>
            </w:tcBorders>
            <w:shd w:val="clear" w:color="auto" w:fill="auto"/>
            <w:noWrap/>
            <w:vAlign w:val="center"/>
            <w:hideMark/>
          </w:tcPr>
          <w:p w14:paraId="7EFE1254" w14:textId="77777777" w:rsidR="007B33CE" w:rsidRPr="00CB5053" w:rsidRDefault="007B33CE" w:rsidP="002D2EB8">
            <w:pPr>
              <w:rPr>
                <w:rFonts w:cs="Times New Roman"/>
                <w:color w:val="000000"/>
              </w:rPr>
            </w:pPr>
            <w:r w:rsidRPr="00CB5053">
              <w:rPr>
                <w:rFonts w:cs="Times New Roman"/>
                <w:color w:val="000000"/>
              </w:rPr>
              <w:t>Felhalmozási bevételek</w:t>
            </w:r>
          </w:p>
        </w:tc>
        <w:tc>
          <w:tcPr>
            <w:tcW w:w="2409" w:type="dxa"/>
            <w:tcBorders>
              <w:top w:val="nil"/>
              <w:left w:val="nil"/>
              <w:bottom w:val="single" w:sz="4" w:space="0" w:color="808080"/>
              <w:right w:val="single" w:sz="4" w:space="0" w:color="808080"/>
            </w:tcBorders>
            <w:shd w:val="clear" w:color="auto" w:fill="auto"/>
            <w:noWrap/>
            <w:vAlign w:val="center"/>
          </w:tcPr>
          <w:p w14:paraId="74121FBE" w14:textId="77777777" w:rsidR="007B33CE" w:rsidRPr="00CB5053" w:rsidRDefault="007B33CE" w:rsidP="002D2EB8">
            <w:pPr>
              <w:jc w:val="right"/>
              <w:rPr>
                <w:rFonts w:cs="Times New Roman"/>
                <w:color w:val="000000"/>
              </w:rPr>
            </w:pPr>
            <w:r w:rsidRPr="00CB5053">
              <w:rPr>
                <w:rFonts w:cs="Times New Roman"/>
                <w:color w:val="000000"/>
              </w:rPr>
              <w:t>73.899.714 Ft</w:t>
            </w:r>
          </w:p>
        </w:tc>
      </w:tr>
      <w:tr w:rsidR="007B33CE" w:rsidRPr="00CB5053" w14:paraId="3671A598"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1F27495" w14:textId="77777777" w:rsidR="007B33CE" w:rsidRPr="00CB5053" w:rsidRDefault="007B33CE" w:rsidP="002D2EB8">
            <w:pPr>
              <w:jc w:val="center"/>
              <w:rPr>
                <w:rFonts w:cs="Times New Roman"/>
                <w:color w:val="000000"/>
              </w:rPr>
            </w:pPr>
            <w:r w:rsidRPr="00CB5053">
              <w:rPr>
                <w:rFonts w:cs="Times New Roman"/>
                <w:color w:val="000000"/>
              </w:rPr>
              <w:t>7</w:t>
            </w:r>
          </w:p>
        </w:tc>
        <w:tc>
          <w:tcPr>
            <w:tcW w:w="891" w:type="dxa"/>
            <w:tcBorders>
              <w:top w:val="nil"/>
              <w:left w:val="nil"/>
              <w:bottom w:val="single" w:sz="4" w:space="0" w:color="808080"/>
              <w:right w:val="single" w:sz="4" w:space="0" w:color="808080"/>
            </w:tcBorders>
            <w:shd w:val="clear" w:color="auto" w:fill="auto"/>
            <w:noWrap/>
            <w:vAlign w:val="center"/>
            <w:hideMark/>
          </w:tcPr>
          <w:p w14:paraId="0D6F404A" w14:textId="77777777" w:rsidR="007B33CE" w:rsidRPr="00CB5053" w:rsidRDefault="007B33CE" w:rsidP="002D2EB8">
            <w:pPr>
              <w:jc w:val="center"/>
              <w:rPr>
                <w:rFonts w:cs="Times New Roman"/>
                <w:color w:val="000000"/>
              </w:rPr>
            </w:pPr>
            <w:r w:rsidRPr="00CB5053">
              <w:rPr>
                <w:rFonts w:cs="Times New Roman"/>
                <w:color w:val="000000"/>
              </w:rPr>
              <w:t>B6</w:t>
            </w:r>
          </w:p>
        </w:tc>
        <w:tc>
          <w:tcPr>
            <w:tcW w:w="5954" w:type="dxa"/>
            <w:tcBorders>
              <w:top w:val="nil"/>
              <w:left w:val="nil"/>
              <w:bottom w:val="single" w:sz="4" w:space="0" w:color="808080"/>
              <w:right w:val="single" w:sz="4" w:space="0" w:color="808080"/>
            </w:tcBorders>
            <w:shd w:val="clear" w:color="auto" w:fill="auto"/>
            <w:noWrap/>
            <w:vAlign w:val="center"/>
            <w:hideMark/>
          </w:tcPr>
          <w:p w14:paraId="0002074A" w14:textId="77777777" w:rsidR="007B33CE" w:rsidRPr="00CB5053" w:rsidRDefault="007B33CE" w:rsidP="002D2EB8">
            <w:pPr>
              <w:rPr>
                <w:rFonts w:cs="Times New Roman"/>
                <w:color w:val="000000"/>
              </w:rPr>
            </w:pPr>
            <w:r w:rsidRPr="00CB5053">
              <w:rPr>
                <w:rFonts w:cs="Times New Roman"/>
                <w:color w:val="000000"/>
              </w:rPr>
              <w:t>Működési célú átvett pénzeszközök</w:t>
            </w:r>
          </w:p>
        </w:tc>
        <w:tc>
          <w:tcPr>
            <w:tcW w:w="2409" w:type="dxa"/>
            <w:tcBorders>
              <w:top w:val="nil"/>
              <w:left w:val="nil"/>
              <w:bottom w:val="single" w:sz="4" w:space="0" w:color="808080"/>
              <w:right w:val="single" w:sz="4" w:space="0" w:color="808080"/>
            </w:tcBorders>
            <w:shd w:val="clear" w:color="auto" w:fill="auto"/>
            <w:noWrap/>
            <w:vAlign w:val="center"/>
          </w:tcPr>
          <w:p w14:paraId="68DE6265" w14:textId="77777777" w:rsidR="007B33CE" w:rsidRPr="00CB5053" w:rsidRDefault="007B33CE" w:rsidP="002D2EB8">
            <w:pPr>
              <w:jc w:val="right"/>
              <w:rPr>
                <w:rFonts w:cs="Times New Roman"/>
                <w:color w:val="000000"/>
              </w:rPr>
            </w:pPr>
            <w:r w:rsidRPr="00CB5053">
              <w:rPr>
                <w:rFonts w:cs="Times New Roman"/>
                <w:color w:val="000000"/>
              </w:rPr>
              <w:t>120.000 Ft</w:t>
            </w:r>
          </w:p>
        </w:tc>
      </w:tr>
      <w:tr w:rsidR="007B33CE" w:rsidRPr="00CB5053" w14:paraId="2A0C1C1D"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40EA84F2" w14:textId="77777777" w:rsidR="007B33CE" w:rsidRPr="00CB5053" w:rsidRDefault="007B33CE" w:rsidP="002D2EB8">
            <w:pPr>
              <w:jc w:val="center"/>
              <w:rPr>
                <w:rFonts w:cs="Times New Roman"/>
                <w:color w:val="000000"/>
              </w:rPr>
            </w:pPr>
            <w:r w:rsidRPr="00CB5053">
              <w:rPr>
                <w:rFonts w:cs="Times New Roman"/>
                <w:color w:val="000000"/>
              </w:rPr>
              <w:t>8</w:t>
            </w:r>
          </w:p>
        </w:tc>
        <w:tc>
          <w:tcPr>
            <w:tcW w:w="891" w:type="dxa"/>
            <w:tcBorders>
              <w:top w:val="nil"/>
              <w:left w:val="nil"/>
              <w:bottom w:val="single" w:sz="4" w:space="0" w:color="808080"/>
              <w:right w:val="single" w:sz="4" w:space="0" w:color="808080"/>
            </w:tcBorders>
            <w:shd w:val="clear" w:color="auto" w:fill="auto"/>
            <w:noWrap/>
            <w:vAlign w:val="center"/>
            <w:hideMark/>
          </w:tcPr>
          <w:p w14:paraId="7FFB11C0" w14:textId="77777777" w:rsidR="007B33CE" w:rsidRPr="00CB5053" w:rsidRDefault="007B33CE" w:rsidP="002D2EB8">
            <w:pPr>
              <w:jc w:val="center"/>
              <w:rPr>
                <w:rFonts w:cs="Times New Roman"/>
                <w:color w:val="000000"/>
              </w:rPr>
            </w:pPr>
            <w:r w:rsidRPr="00CB5053">
              <w:rPr>
                <w:rFonts w:cs="Times New Roman"/>
                <w:color w:val="000000"/>
              </w:rPr>
              <w:t>B7</w:t>
            </w:r>
          </w:p>
        </w:tc>
        <w:tc>
          <w:tcPr>
            <w:tcW w:w="5954" w:type="dxa"/>
            <w:tcBorders>
              <w:top w:val="nil"/>
              <w:left w:val="nil"/>
              <w:bottom w:val="single" w:sz="4" w:space="0" w:color="808080"/>
              <w:right w:val="single" w:sz="4" w:space="0" w:color="808080"/>
            </w:tcBorders>
            <w:shd w:val="clear" w:color="auto" w:fill="auto"/>
            <w:noWrap/>
            <w:vAlign w:val="center"/>
            <w:hideMark/>
          </w:tcPr>
          <w:p w14:paraId="5DE4EAC9" w14:textId="77777777" w:rsidR="007B33CE" w:rsidRPr="00CB5053" w:rsidRDefault="007B33CE" w:rsidP="002D2EB8">
            <w:pPr>
              <w:rPr>
                <w:rFonts w:cs="Times New Roman"/>
                <w:color w:val="000000"/>
              </w:rPr>
            </w:pPr>
            <w:r w:rsidRPr="00CB5053">
              <w:rPr>
                <w:rFonts w:cs="Times New Roman"/>
                <w:color w:val="000000"/>
              </w:rPr>
              <w:t>Felhalmozási célú átvett pénzeszközök</w:t>
            </w:r>
          </w:p>
        </w:tc>
        <w:tc>
          <w:tcPr>
            <w:tcW w:w="2409" w:type="dxa"/>
            <w:tcBorders>
              <w:top w:val="nil"/>
              <w:left w:val="nil"/>
              <w:bottom w:val="single" w:sz="4" w:space="0" w:color="808080"/>
              <w:right w:val="single" w:sz="4" w:space="0" w:color="808080"/>
            </w:tcBorders>
            <w:shd w:val="clear" w:color="auto" w:fill="auto"/>
            <w:noWrap/>
            <w:vAlign w:val="center"/>
          </w:tcPr>
          <w:p w14:paraId="320FFA8F" w14:textId="77777777" w:rsidR="007B33CE" w:rsidRPr="00CB5053" w:rsidRDefault="007B33CE" w:rsidP="002D2EB8">
            <w:pPr>
              <w:jc w:val="right"/>
              <w:rPr>
                <w:rFonts w:cs="Times New Roman"/>
                <w:color w:val="000000"/>
              </w:rPr>
            </w:pPr>
            <w:r w:rsidRPr="00CB5053">
              <w:rPr>
                <w:rFonts w:cs="Times New Roman"/>
                <w:color w:val="000000"/>
              </w:rPr>
              <w:t>0 Ft</w:t>
            </w:r>
          </w:p>
        </w:tc>
      </w:tr>
      <w:tr w:rsidR="007B33CE" w:rsidRPr="00CB5053" w14:paraId="432E471D"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2D9F480C" w14:textId="77777777" w:rsidR="007B33CE" w:rsidRPr="00CB5053" w:rsidRDefault="007B33CE" w:rsidP="002D2EB8">
            <w:pPr>
              <w:jc w:val="center"/>
              <w:rPr>
                <w:rFonts w:cs="Times New Roman"/>
                <w:color w:val="000000"/>
              </w:rPr>
            </w:pPr>
            <w:r w:rsidRPr="00CB5053">
              <w:rPr>
                <w:rFonts w:cs="Times New Roman"/>
                <w:color w:val="000000"/>
              </w:rPr>
              <w:t>9</w:t>
            </w:r>
          </w:p>
        </w:tc>
        <w:tc>
          <w:tcPr>
            <w:tcW w:w="891" w:type="dxa"/>
            <w:tcBorders>
              <w:top w:val="nil"/>
              <w:left w:val="nil"/>
              <w:bottom w:val="single" w:sz="4" w:space="0" w:color="808080"/>
              <w:right w:val="single" w:sz="4" w:space="0" w:color="808080"/>
            </w:tcBorders>
            <w:shd w:val="clear" w:color="auto" w:fill="auto"/>
            <w:noWrap/>
            <w:vAlign w:val="center"/>
            <w:hideMark/>
          </w:tcPr>
          <w:p w14:paraId="529BC116" w14:textId="77777777" w:rsidR="007B33CE" w:rsidRPr="00CB5053" w:rsidRDefault="007B33CE" w:rsidP="002D2EB8">
            <w:pPr>
              <w:jc w:val="center"/>
              <w:rPr>
                <w:rFonts w:cs="Times New Roman"/>
                <w:color w:val="000000"/>
              </w:rPr>
            </w:pPr>
            <w:r w:rsidRPr="00CB5053">
              <w:rPr>
                <w:rFonts w:cs="Times New Roman"/>
                <w:color w:val="000000"/>
              </w:rPr>
              <w:t>B8</w:t>
            </w:r>
          </w:p>
        </w:tc>
        <w:tc>
          <w:tcPr>
            <w:tcW w:w="5954" w:type="dxa"/>
            <w:tcBorders>
              <w:top w:val="nil"/>
              <w:left w:val="nil"/>
              <w:bottom w:val="single" w:sz="4" w:space="0" w:color="808080"/>
              <w:right w:val="single" w:sz="4" w:space="0" w:color="808080"/>
            </w:tcBorders>
            <w:shd w:val="clear" w:color="auto" w:fill="auto"/>
            <w:noWrap/>
            <w:vAlign w:val="center"/>
            <w:hideMark/>
          </w:tcPr>
          <w:p w14:paraId="3C4B42D5" w14:textId="77777777" w:rsidR="007B33CE" w:rsidRPr="00CB5053" w:rsidRDefault="007B33CE" w:rsidP="002D2EB8">
            <w:pPr>
              <w:rPr>
                <w:rFonts w:cs="Times New Roman"/>
                <w:color w:val="000000"/>
              </w:rPr>
            </w:pPr>
            <w:r w:rsidRPr="00CB5053">
              <w:rPr>
                <w:rFonts w:cs="Times New Roman"/>
                <w:color w:val="000000"/>
              </w:rPr>
              <w:t>Finanszírozási bevételek</w:t>
            </w:r>
          </w:p>
        </w:tc>
        <w:tc>
          <w:tcPr>
            <w:tcW w:w="2409" w:type="dxa"/>
            <w:tcBorders>
              <w:top w:val="nil"/>
              <w:left w:val="nil"/>
              <w:bottom w:val="single" w:sz="4" w:space="0" w:color="808080"/>
              <w:right w:val="single" w:sz="4" w:space="0" w:color="808080"/>
            </w:tcBorders>
            <w:shd w:val="clear" w:color="auto" w:fill="auto"/>
            <w:noWrap/>
            <w:vAlign w:val="center"/>
          </w:tcPr>
          <w:p w14:paraId="2E4FB70D" w14:textId="77777777" w:rsidR="007B33CE" w:rsidRPr="00CB5053" w:rsidRDefault="007B33CE" w:rsidP="002D2EB8">
            <w:pPr>
              <w:jc w:val="right"/>
              <w:rPr>
                <w:rFonts w:cs="Times New Roman"/>
                <w:color w:val="000000"/>
              </w:rPr>
            </w:pPr>
            <w:r w:rsidRPr="00CB5053">
              <w:rPr>
                <w:rFonts w:cs="Times New Roman"/>
                <w:color w:val="000000"/>
              </w:rPr>
              <w:t>42.646.009 Ft</w:t>
            </w:r>
          </w:p>
        </w:tc>
      </w:tr>
      <w:tr w:rsidR="007B33CE" w:rsidRPr="00CB5053" w14:paraId="0D3C63F5"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616AF1C2" w14:textId="77777777" w:rsidR="007B33CE" w:rsidRPr="00CB5053" w:rsidRDefault="007B33CE" w:rsidP="002D2EB8">
            <w:pPr>
              <w:jc w:val="center"/>
              <w:rPr>
                <w:rFonts w:cs="Times New Roman"/>
                <w:color w:val="000000"/>
              </w:rPr>
            </w:pPr>
            <w:r w:rsidRPr="00CB5053">
              <w:rPr>
                <w:rFonts w:cs="Times New Roman"/>
                <w:color w:val="000000"/>
              </w:rPr>
              <w:t>10</w:t>
            </w:r>
          </w:p>
        </w:tc>
        <w:tc>
          <w:tcPr>
            <w:tcW w:w="891" w:type="dxa"/>
            <w:tcBorders>
              <w:top w:val="nil"/>
              <w:left w:val="nil"/>
              <w:bottom w:val="single" w:sz="4" w:space="0" w:color="808080"/>
              <w:right w:val="single" w:sz="4" w:space="0" w:color="808080"/>
            </w:tcBorders>
            <w:shd w:val="clear" w:color="auto" w:fill="auto"/>
            <w:noWrap/>
            <w:vAlign w:val="center"/>
            <w:hideMark/>
          </w:tcPr>
          <w:p w14:paraId="5EC99197" w14:textId="77777777" w:rsidR="007B33CE" w:rsidRPr="00CB5053" w:rsidRDefault="007B33CE" w:rsidP="002D2EB8">
            <w:pPr>
              <w:jc w:val="center"/>
              <w:rPr>
                <w:rFonts w:cs="Times New Roman"/>
                <w:b/>
                <w:bCs/>
                <w:color w:val="000000"/>
              </w:rPr>
            </w:pPr>
            <w:r w:rsidRPr="00CB5053">
              <w:rPr>
                <w:rFonts w:cs="Times New Roman"/>
                <w:b/>
                <w:bCs/>
                <w:color w:val="000000"/>
              </w:rPr>
              <w:t> </w:t>
            </w:r>
          </w:p>
        </w:tc>
        <w:tc>
          <w:tcPr>
            <w:tcW w:w="5954" w:type="dxa"/>
            <w:tcBorders>
              <w:top w:val="nil"/>
              <w:left w:val="nil"/>
              <w:bottom w:val="single" w:sz="4" w:space="0" w:color="808080"/>
              <w:right w:val="single" w:sz="4" w:space="0" w:color="808080"/>
            </w:tcBorders>
            <w:shd w:val="clear" w:color="auto" w:fill="auto"/>
            <w:noWrap/>
            <w:vAlign w:val="center"/>
            <w:hideMark/>
          </w:tcPr>
          <w:p w14:paraId="75E34031" w14:textId="77777777" w:rsidR="007B33CE" w:rsidRPr="00CB5053" w:rsidRDefault="007B33CE" w:rsidP="002D2EB8">
            <w:pPr>
              <w:rPr>
                <w:rFonts w:cs="Times New Roman"/>
                <w:b/>
                <w:bCs/>
                <w:color w:val="000000"/>
              </w:rPr>
            </w:pPr>
            <w:r w:rsidRPr="00CB5053">
              <w:rPr>
                <w:rFonts w:cs="Times New Roman"/>
                <w:b/>
                <w:bCs/>
                <w:color w:val="000000"/>
              </w:rPr>
              <w:t>Összesen</w:t>
            </w:r>
          </w:p>
        </w:tc>
        <w:tc>
          <w:tcPr>
            <w:tcW w:w="2409" w:type="dxa"/>
            <w:tcBorders>
              <w:top w:val="nil"/>
              <w:left w:val="nil"/>
              <w:bottom w:val="single" w:sz="4" w:space="0" w:color="808080"/>
              <w:right w:val="single" w:sz="4" w:space="0" w:color="808080"/>
            </w:tcBorders>
            <w:shd w:val="clear" w:color="auto" w:fill="auto"/>
            <w:noWrap/>
            <w:vAlign w:val="center"/>
          </w:tcPr>
          <w:p w14:paraId="2A229F0C" w14:textId="42DB5253" w:rsidR="007B33CE" w:rsidRPr="00CB5053" w:rsidRDefault="00D3542C" w:rsidP="002D2EB8">
            <w:pPr>
              <w:jc w:val="right"/>
              <w:rPr>
                <w:rFonts w:cs="Times New Roman"/>
                <w:b/>
                <w:bCs/>
                <w:color w:val="000000"/>
              </w:rPr>
            </w:pPr>
            <w:r>
              <w:rPr>
                <w:rFonts w:cs="Times New Roman"/>
                <w:b/>
                <w:bCs/>
                <w:color w:val="000000"/>
              </w:rPr>
              <w:t>643.617.129</w:t>
            </w:r>
            <w:r w:rsidR="007B33CE" w:rsidRPr="00CB5053">
              <w:rPr>
                <w:rFonts w:cs="Times New Roman"/>
                <w:b/>
                <w:bCs/>
                <w:color w:val="000000"/>
              </w:rPr>
              <w:t xml:space="preserve"> Ft</w:t>
            </w:r>
          </w:p>
        </w:tc>
      </w:tr>
    </w:tbl>
    <w:p w14:paraId="60D36440" w14:textId="77777777" w:rsidR="007B33CE" w:rsidRPr="00CB5053" w:rsidRDefault="007B33CE" w:rsidP="007B33CE">
      <w:pPr>
        <w:tabs>
          <w:tab w:val="center" w:pos="6804"/>
        </w:tabs>
        <w:jc w:val="both"/>
        <w:rPr>
          <w:rFonts w:cs="Times New Roman"/>
        </w:rPr>
      </w:pPr>
    </w:p>
    <w:p w14:paraId="37C091D5" w14:textId="77777777" w:rsidR="001B1F3B" w:rsidRDefault="001B1F3B" w:rsidP="007B33CE">
      <w:pPr>
        <w:tabs>
          <w:tab w:val="center" w:pos="6804"/>
        </w:tabs>
        <w:jc w:val="center"/>
        <w:rPr>
          <w:rFonts w:cs="Times New Roman"/>
          <w:b/>
          <w:bCs/>
        </w:rPr>
      </w:pPr>
      <w:r>
        <w:rPr>
          <w:rFonts w:cs="Times New Roman"/>
          <w:b/>
          <w:bCs/>
        </w:rPr>
        <w:br w:type="page"/>
      </w:r>
    </w:p>
    <w:p w14:paraId="28B9D892" w14:textId="1664E562" w:rsidR="007B33CE" w:rsidRPr="00CB5053" w:rsidRDefault="007B33CE" w:rsidP="007B33CE">
      <w:pPr>
        <w:tabs>
          <w:tab w:val="center" w:pos="6804"/>
        </w:tabs>
        <w:jc w:val="center"/>
        <w:rPr>
          <w:rFonts w:cs="Times New Roman"/>
          <w:b/>
          <w:bCs/>
        </w:rPr>
      </w:pPr>
      <w:r w:rsidRPr="00CB5053">
        <w:rPr>
          <w:rFonts w:cs="Times New Roman"/>
          <w:b/>
          <w:bCs/>
        </w:rPr>
        <w:lastRenderedPageBreak/>
        <w:t>2. számú táblázat</w:t>
      </w:r>
    </w:p>
    <w:p w14:paraId="7CB63366" w14:textId="77777777" w:rsidR="007B33CE" w:rsidRPr="00CB5053" w:rsidRDefault="007B33CE" w:rsidP="007B33CE">
      <w:pPr>
        <w:tabs>
          <w:tab w:val="center" w:pos="6804"/>
        </w:tabs>
        <w:jc w:val="center"/>
        <w:rPr>
          <w:rFonts w:cs="Times New Roman"/>
        </w:rPr>
      </w:pPr>
      <w:r w:rsidRPr="00CB5053">
        <w:rPr>
          <w:rFonts w:cs="Times New Roman"/>
        </w:rPr>
        <w:t>A 2025. évi költségvetési kiadások rovatonként</w:t>
      </w:r>
    </w:p>
    <w:p w14:paraId="74DED280" w14:textId="77777777" w:rsidR="007B33CE" w:rsidRPr="00CB5053" w:rsidRDefault="007B33CE" w:rsidP="007B33CE">
      <w:pPr>
        <w:tabs>
          <w:tab w:val="center" w:pos="6804"/>
        </w:tabs>
        <w:jc w:val="both"/>
        <w:rPr>
          <w:rFonts w:cs="Times New Roman"/>
        </w:rPr>
      </w:pPr>
    </w:p>
    <w:tbl>
      <w:tblPr>
        <w:tblW w:w="9634" w:type="dxa"/>
        <w:tblCellMar>
          <w:left w:w="70" w:type="dxa"/>
          <w:right w:w="70" w:type="dxa"/>
        </w:tblCellMar>
        <w:tblLook w:val="04A0" w:firstRow="1" w:lastRow="0" w:firstColumn="1" w:lastColumn="0" w:noHBand="0" w:noVBand="1"/>
      </w:tblPr>
      <w:tblGrid>
        <w:gridCol w:w="380"/>
        <w:gridCol w:w="891"/>
        <w:gridCol w:w="5954"/>
        <w:gridCol w:w="2409"/>
      </w:tblGrid>
      <w:tr w:rsidR="007B33CE" w:rsidRPr="00CB5053" w14:paraId="055838E0" w14:textId="77777777" w:rsidTr="002D2EB8">
        <w:trPr>
          <w:trHeight w:val="315"/>
        </w:trPr>
        <w:tc>
          <w:tcPr>
            <w:tcW w:w="3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33E81D8" w14:textId="77777777" w:rsidR="007B33CE" w:rsidRPr="00CB5053" w:rsidRDefault="007B33CE" w:rsidP="002D2EB8">
            <w:pPr>
              <w:jc w:val="center"/>
              <w:rPr>
                <w:rFonts w:cs="Times New Roman"/>
                <w:color w:val="000000"/>
              </w:rPr>
            </w:pPr>
            <w:r w:rsidRPr="00CB5053">
              <w:rPr>
                <w:rFonts w:cs="Times New Roman"/>
                <w:color w:val="000000"/>
              </w:rPr>
              <w:t> </w:t>
            </w:r>
          </w:p>
        </w:tc>
        <w:tc>
          <w:tcPr>
            <w:tcW w:w="891" w:type="dxa"/>
            <w:tcBorders>
              <w:top w:val="single" w:sz="4" w:space="0" w:color="808080"/>
              <w:left w:val="nil"/>
              <w:bottom w:val="single" w:sz="4" w:space="0" w:color="808080"/>
              <w:right w:val="single" w:sz="4" w:space="0" w:color="808080"/>
            </w:tcBorders>
            <w:shd w:val="clear" w:color="auto" w:fill="auto"/>
            <w:noWrap/>
            <w:vAlign w:val="center"/>
            <w:hideMark/>
          </w:tcPr>
          <w:p w14:paraId="3008135C" w14:textId="77777777" w:rsidR="007B33CE" w:rsidRPr="00CB5053" w:rsidRDefault="007B33CE" w:rsidP="002D2EB8">
            <w:pPr>
              <w:jc w:val="center"/>
              <w:rPr>
                <w:rFonts w:cs="Times New Roman"/>
                <w:color w:val="000000"/>
              </w:rPr>
            </w:pPr>
            <w:r w:rsidRPr="00CB5053">
              <w:rPr>
                <w:rFonts w:cs="Times New Roman"/>
                <w:color w:val="000000"/>
              </w:rPr>
              <w:t>A</w:t>
            </w:r>
          </w:p>
        </w:tc>
        <w:tc>
          <w:tcPr>
            <w:tcW w:w="5954" w:type="dxa"/>
            <w:tcBorders>
              <w:top w:val="single" w:sz="4" w:space="0" w:color="808080"/>
              <w:left w:val="nil"/>
              <w:bottom w:val="single" w:sz="4" w:space="0" w:color="808080"/>
              <w:right w:val="single" w:sz="4" w:space="0" w:color="808080"/>
            </w:tcBorders>
            <w:shd w:val="clear" w:color="auto" w:fill="auto"/>
            <w:noWrap/>
            <w:vAlign w:val="center"/>
            <w:hideMark/>
          </w:tcPr>
          <w:p w14:paraId="40DB8CBC" w14:textId="77777777" w:rsidR="007B33CE" w:rsidRPr="00CB5053" w:rsidRDefault="007B33CE" w:rsidP="002D2EB8">
            <w:pPr>
              <w:jc w:val="center"/>
              <w:rPr>
                <w:rFonts w:cs="Times New Roman"/>
                <w:color w:val="000000"/>
              </w:rPr>
            </w:pPr>
            <w:r w:rsidRPr="00CB5053">
              <w:rPr>
                <w:rFonts w:cs="Times New Roman"/>
                <w:color w:val="000000"/>
              </w:rPr>
              <w:t>B</w:t>
            </w:r>
          </w:p>
        </w:tc>
        <w:tc>
          <w:tcPr>
            <w:tcW w:w="2409" w:type="dxa"/>
            <w:tcBorders>
              <w:top w:val="single" w:sz="4" w:space="0" w:color="808080"/>
              <w:left w:val="nil"/>
              <w:bottom w:val="single" w:sz="4" w:space="0" w:color="808080"/>
              <w:right w:val="single" w:sz="4" w:space="0" w:color="808080"/>
            </w:tcBorders>
            <w:shd w:val="clear" w:color="auto" w:fill="auto"/>
            <w:noWrap/>
            <w:vAlign w:val="center"/>
            <w:hideMark/>
          </w:tcPr>
          <w:p w14:paraId="41B2D9BF" w14:textId="77777777" w:rsidR="007B33CE" w:rsidRPr="00CB5053" w:rsidRDefault="007B33CE" w:rsidP="002D2EB8">
            <w:pPr>
              <w:jc w:val="center"/>
              <w:rPr>
                <w:rFonts w:cs="Times New Roman"/>
                <w:color w:val="000000"/>
              </w:rPr>
            </w:pPr>
            <w:r w:rsidRPr="00CB5053">
              <w:rPr>
                <w:rFonts w:cs="Times New Roman"/>
                <w:color w:val="000000"/>
              </w:rPr>
              <w:t>C</w:t>
            </w:r>
          </w:p>
        </w:tc>
      </w:tr>
      <w:tr w:rsidR="007B33CE" w:rsidRPr="00CB5053" w14:paraId="75255C4F" w14:textId="77777777" w:rsidTr="002D2EB8">
        <w:trPr>
          <w:trHeight w:val="630"/>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248A9D9A" w14:textId="77777777" w:rsidR="007B33CE" w:rsidRPr="00CB5053" w:rsidRDefault="007B33CE" w:rsidP="002D2EB8">
            <w:pPr>
              <w:jc w:val="center"/>
              <w:rPr>
                <w:rFonts w:cs="Times New Roman"/>
                <w:color w:val="000000"/>
              </w:rPr>
            </w:pPr>
            <w:r w:rsidRPr="00CB5053">
              <w:rPr>
                <w:rFonts w:cs="Times New Roman"/>
                <w:color w:val="000000"/>
              </w:rPr>
              <w:t>1</w:t>
            </w:r>
          </w:p>
        </w:tc>
        <w:tc>
          <w:tcPr>
            <w:tcW w:w="891" w:type="dxa"/>
            <w:tcBorders>
              <w:top w:val="nil"/>
              <w:left w:val="nil"/>
              <w:bottom w:val="single" w:sz="4" w:space="0" w:color="808080"/>
              <w:right w:val="single" w:sz="4" w:space="0" w:color="808080"/>
            </w:tcBorders>
            <w:shd w:val="clear" w:color="auto" w:fill="auto"/>
            <w:noWrap/>
            <w:vAlign w:val="center"/>
            <w:hideMark/>
          </w:tcPr>
          <w:p w14:paraId="74CCE792" w14:textId="77777777" w:rsidR="007B33CE" w:rsidRPr="00CB5053" w:rsidRDefault="007B33CE" w:rsidP="002D2EB8">
            <w:pPr>
              <w:jc w:val="center"/>
              <w:rPr>
                <w:rFonts w:cs="Times New Roman"/>
                <w:b/>
                <w:bCs/>
                <w:color w:val="000000"/>
              </w:rPr>
            </w:pPr>
            <w:r w:rsidRPr="00CB5053">
              <w:rPr>
                <w:rFonts w:cs="Times New Roman"/>
                <w:b/>
                <w:bCs/>
                <w:color w:val="000000"/>
              </w:rPr>
              <w:t>Rovat</w:t>
            </w:r>
          </w:p>
        </w:tc>
        <w:tc>
          <w:tcPr>
            <w:tcW w:w="5954" w:type="dxa"/>
            <w:tcBorders>
              <w:top w:val="nil"/>
              <w:left w:val="nil"/>
              <w:bottom w:val="single" w:sz="4" w:space="0" w:color="808080"/>
              <w:right w:val="single" w:sz="4" w:space="0" w:color="808080"/>
            </w:tcBorders>
            <w:shd w:val="clear" w:color="auto" w:fill="auto"/>
            <w:vAlign w:val="center"/>
            <w:hideMark/>
          </w:tcPr>
          <w:p w14:paraId="73DCC8F1" w14:textId="77777777" w:rsidR="007B33CE" w:rsidRPr="00CB5053" w:rsidRDefault="007B33CE" w:rsidP="002D2EB8">
            <w:pPr>
              <w:jc w:val="center"/>
              <w:rPr>
                <w:rFonts w:cs="Times New Roman"/>
                <w:b/>
                <w:bCs/>
                <w:color w:val="000000"/>
              </w:rPr>
            </w:pPr>
            <w:r w:rsidRPr="00CB5053">
              <w:rPr>
                <w:rFonts w:cs="Times New Roman"/>
                <w:b/>
                <w:bCs/>
                <w:color w:val="000000"/>
              </w:rPr>
              <w:t>Kiadási előirányzatok</w:t>
            </w:r>
          </w:p>
        </w:tc>
        <w:tc>
          <w:tcPr>
            <w:tcW w:w="2409" w:type="dxa"/>
            <w:tcBorders>
              <w:top w:val="nil"/>
              <w:left w:val="nil"/>
              <w:bottom w:val="single" w:sz="4" w:space="0" w:color="808080"/>
              <w:right w:val="single" w:sz="4" w:space="0" w:color="808080"/>
            </w:tcBorders>
            <w:shd w:val="clear" w:color="auto" w:fill="auto"/>
            <w:vAlign w:val="center"/>
            <w:hideMark/>
          </w:tcPr>
          <w:p w14:paraId="7815BDF5" w14:textId="77777777" w:rsidR="007B33CE" w:rsidRPr="00CB5053" w:rsidRDefault="007B33CE" w:rsidP="002D2EB8">
            <w:pPr>
              <w:jc w:val="center"/>
              <w:rPr>
                <w:rFonts w:cs="Times New Roman"/>
                <w:b/>
                <w:bCs/>
                <w:color w:val="000000"/>
              </w:rPr>
            </w:pPr>
            <w:r w:rsidRPr="00CB5053">
              <w:rPr>
                <w:rFonts w:cs="Times New Roman"/>
                <w:b/>
                <w:bCs/>
                <w:color w:val="000000"/>
              </w:rPr>
              <w:t>2025. évi előirányzat</w:t>
            </w:r>
          </w:p>
        </w:tc>
      </w:tr>
      <w:tr w:rsidR="007B33CE" w:rsidRPr="00CB5053" w14:paraId="71CA8281"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355329BA" w14:textId="77777777" w:rsidR="007B33CE" w:rsidRPr="00CB5053" w:rsidRDefault="007B33CE" w:rsidP="002D2EB8">
            <w:pPr>
              <w:jc w:val="center"/>
              <w:rPr>
                <w:rFonts w:cs="Times New Roman"/>
                <w:color w:val="000000"/>
              </w:rPr>
            </w:pPr>
            <w:r w:rsidRPr="00CB5053">
              <w:rPr>
                <w:rFonts w:cs="Times New Roman"/>
                <w:color w:val="000000"/>
              </w:rPr>
              <w:t>2</w:t>
            </w:r>
          </w:p>
        </w:tc>
        <w:tc>
          <w:tcPr>
            <w:tcW w:w="891" w:type="dxa"/>
            <w:tcBorders>
              <w:top w:val="nil"/>
              <w:left w:val="nil"/>
              <w:bottom w:val="single" w:sz="4" w:space="0" w:color="808080"/>
              <w:right w:val="single" w:sz="4" w:space="0" w:color="808080"/>
            </w:tcBorders>
            <w:shd w:val="clear" w:color="auto" w:fill="auto"/>
            <w:noWrap/>
            <w:vAlign w:val="center"/>
            <w:hideMark/>
          </w:tcPr>
          <w:p w14:paraId="5274951E" w14:textId="77777777" w:rsidR="007B33CE" w:rsidRPr="00CB5053" w:rsidRDefault="007B33CE" w:rsidP="002D2EB8">
            <w:pPr>
              <w:jc w:val="center"/>
              <w:rPr>
                <w:rFonts w:cs="Times New Roman"/>
                <w:color w:val="000000"/>
              </w:rPr>
            </w:pPr>
            <w:r w:rsidRPr="00CB5053">
              <w:rPr>
                <w:rFonts w:cs="Times New Roman"/>
                <w:color w:val="000000"/>
              </w:rPr>
              <w:t>K1</w:t>
            </w:r>
          </w:p>
        </w:tc>
        <w:tc>
          <w:tcPr>
            <w:tcW w:w="5954" w:type="dxa"/>
            <w:tcBorders>
              <w:top w:val="nil"/>
              <w:left w:val="nil"/>
              <w:bottom w:val="single" w:sz="4" w:space="0" w:color="808080"/>
              <w:right w:val="single" w:sz="4" w:space="0" w:color="808080"/>
            </w:tcBorders>
            <w:shd w:val="clear" w:color="auto" w:fill="auto"/>
            <w:noWrap/>
            <w:vAlign w:val="center"/>
            <w:hideMark/>
          </w:tcPr>
          <w:p w14:paraId="5D8983DA" w14:textId="77777777" w:rsidR="007B33CE" w:rsidRPr="00CB5053" w:rsidRDefault="007B33CE" w:rsidP="002D2EB8">
            <w:pPr>
              <w:rPr>
                <w:rFonts w:cs="Times New Roman"/>
                <w:color w:val="000000"/>
              </w:rPr>
            </w:pPr>
            <w:r w:rsidRPr="00CB5053">
              <w:rPr>
                <w:rFonts w:cs="Times New Roman"/>
                <w:color w:val="000000"/>
              </w:rPr>
              <w:t>Személyi juttatások összesen</w:t>
            </w:r>
          </w:p>
        </w:tc>
        <w:tc>
          <w:tcPr>
            <w:tcW w:w="2409" w:type="dxa"/>
            <w:tcBorders>
              <w:top w:val="nil"/>
              <w:left w:val="nil"/>
              <w:bottom w:val="single" w:sz="4" w:space="0" w:color="808080"/>
              <w:right w:val="single" w:sz="4" w:space="0" w:color="808080"/>
            </w:tcBorders>
            <w:shd w:val="clear" w:color="auto" w:fill="auto"/>
            <w:noWrap/>
            <w:vAlign w:val="center"/>
          </w:tcPr>
          <w:p w14:paraId="7F9427DF" w14:textId="4C7CE2DE" w:rsidR="007B33CE" w:rsidRPr="00CB5053" w:rsidRDefault="00D3542C" w:rsidP="002D2EB8">
            <w:pPr>
              <w:jc w:val="right"/>
              <w:rPr>
                <w:rFonts w:cs="Times New Roman"/>
                <w:color w:val="000000"/>
              </w:rPr>
            </w:pPr>
            <w:r>
              <w:rPr>
                <w:rFonts w:cs="Times New Roman"/>
                <w:color w:val="000000"/>
              </w:rPr>
              <w:t>197.941.621</w:t>
            </w:r>
            <w:r w:rsidR="007B33CE" w:rsidRPr="00CB5053">
              <w:rPr>
                <w:rFonts w:cs="Times New Roman"/>
                <w:color w:val="000000"/>
              </w:rPr>
              <w:t xml:space="preserve"> Ft</w:t>
            </w:r>
          </w:p>
        </w:tc>
      </w:tr>
      <w:tr w:rsidR="007B33CE" w:rsidRPr="00CB5053" w14:paraId="309239EB"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00FD8FAB" w14:textId="77777777" w:rsidR="007B33CE" w:rsidRPr="00CB5053" w:rsidRDefault="007B33CE" w:rsidP="002D2EB8">
            <w:pPr>
              <w:jc w:val="center"/>
              <w:rPr>
                <w:rFonts w:cs="Times New Roman"/>
                <w:color w:val="000000"/>
              </w:rPr>
            </w:pPr>
            <w:r w:rsidRPr="00CB5053">
              <w:rPr>
                <w:rFonts w:cs="Times New Roman"/>
                <w:color w:val="000000"/>
              </w:rPr>
              <w:t>3</w:t>
            </w:r>
          </w:p>
        </w:tc>
        <w:tc>
          <w:tcPr>
            <w:tcW w:w="891" w:type="dxa"/>
            <w:tcBorders>
              <w:top w:val="nil"/>
              <w:left w:val="nil"/>
              <w:bottom w:val="single" w:sz="4" w:space="0" w:color="808080"/>
              <w:right w:val="single" w:sz="4" w:space="0" w:color="808080"/>
            </w:tcBorders>
            <w:shd w:val="clear" w:color="auto" w:fill="auto"/>
            <w:noWrap/>
            <w:vAlign w:val="center"/>
            <w:hideMark/>
          </w:tcPr>
          <w:p w14:paraId="1A7D4FE4" w14:textId="77777777" w:rsidR="007B33CE" w:rsidRPr="00CB5053" w:rsidRDefault="007B33CE" w:rsidP="002D2EB8">
            <w:pPr>
              <w:jc w:val="center"/>
              <w:rPr>
                <w:rFonts w:cs="Times New Roman"/>
                <w:color w:val="000000"/>
              </w:rPr>
            </w:pPr>
            <w:r w:rsidRPr="00CB5053">
              <w:rPr>
                <w:rFonts w:cs="Times New Roman"/>
                <w:color w:val="000000"/>
              </w:rPr>
              <w:t>K2</w:t>
            </w:r>
          </w:p>
        </w:tc>
        <w:tc>
          <w:tcPr>
            <w:tcW w:w="5954" w:type="dxa"/>
            <w:tcBorders>
              <w:top w:val="nil"/>
              <w:left w:val="nil"/>
              <w:bottom w:val="single" w:sz="4" w:space="0" w:color="808080"/>
              <w:right w:val="single" w:sz="4" w:space="0" w:color="808080"/>
            </w:tcBorders>
            <w:shd w:val="clear" w:color="auto" w:fill="auto"/>
            <w:noWrap/>
            <w:vAlign w:val="center"/>
            <w:hideMark/>
          </w:tcPr>
          <w:p w14:paraId="546E9D38" w14:textId="77777777" w:rsidR="007B33CE" w:rsidRPr="00CB5053" w:rsidRDefault="007B33CE" w:rsidP="002D2EB8">
            <w:pPr>
              <w:rPr>
                <w:rFonts w:cs="Times New Roman"/>
                <w:color w:val="000000"/>
              </w:rPr>
            </w:pPr>
            <w:r w:rsidRPr="00CB5053">
              <w:rPr>
                <w:rFonts w:cs="Times New Roman"/>
                <w:color w:val="000000"/>
              </w:rPr>
              <w:t>Járulékok összesen</w:t>
            </w:r>
          </w:p>
        </w:tc>
        <w:tc>
          <w:tcPr>
            <w:tcW w:w="2409" w:type="dxa"/>
            <w:tcBorders>
              <w:top w:val="nil"/>
              <w:left w:val="nil"/>
              <w:bottom w:val="single" w:sz="4" w:space="0" w:color="808080"/>
              <w:right w:val="single" w:sz="4" w:space="0" w:color="808080"/>
            </w:tcBorders>
            <w:shd w:val="clear" w:color="auto" w:fill="auto"/>
            <w:noWrap/>
            <w:vAlign w:val="center"/>
          </w:tcPr>
          <w:p w14:paraId="329245F3" w14:textId="31E5A8F7" w:rsidR="007B33CE" w:rsidRPr="00CB5053" w:rsidRDefault="00D3542C" w:rsidP="002D2EB8">
            <w:pPr>
              <w:jc w:val="right"/>
              <w:rPr>
                <w:rFonts w:cs="Times New Roman"/>
                <w:color w:val="000000"/>
              </w:rPr>
            </w:pPr>
            <w:r>
              <w:rPr>
                <w:rFonts w:cs="Times New Roman"/>
                <w:color w:val="000000"/>
              </w:rPr>
              <w:t>25.145.887</w:t>
            </w:r>
            <w:r w:rsidR="007B33CE" w:rsidRPr="00CB5053">
              <w:rPr>
                <w:rFonts w:cs="Times New Roman"/>
                <w:color w:val="000000"/>
              </w:rPr>
              <w:t xml:space="preserve"> Ft</w:t>
            </w:r>
          </w:p>
        </w:tc>
      </w:tr>
      <w:tr w:rsidR="007B33CE" w:rsidRPr="00CB5053" w14:paraId="7746BEAB"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4C4C083" w14:textId="77777777" w:rsidR="007B33CE" w:rsidRPr="00CB5053" w:rsidRDefault="007B33CE" w:rsidP="002D2EB8">
            <w:pPr>
              <w:jc w:val="center"/>
              <w:rPr>
                <w:rFonts w:cs="Times New Roman"/>
                <w:color w:val="000000"/>
              </w:rPr>
            </w:pPr>
            <w:r w:rsidRPr="00CB5053">
              <w:rPr>
                <w:rFonts w:cs="Times New Roman"/>
                <w:color w:val="000000"/>
              </w:rPr>
              <w:t>4</w:t>
            </w:r>
          </w:p>
        </w:tc>
        <w:tc>
          <w:tcPr>
            <w:tcW w:w="891" w:type="dxa"/>
            <w:tcBorders>
              <w:top w:val="nil"/>
              <w:left w:val="nil"/>
              <w:bottom w:val="single" w:sz="4" w:space="0" w:color="808080"/>
              <w:right w:val="single" w:sz="4" w:space="0" w:color="808080"/>
            </w:tcBorders>
            <w:shd w:val="clear" w:color="auto" w:fill="auto"/>
            <w:noWrap/>
            <w:vAlign w:val="center"/>
            <w:hideMark/>
          </w:tcPr>
          <w:p w14:paraId="3B1A611E" w14:textId="77777777" w:rsidR="007B33CE" w:rsidRPr="00CB5053" w:rsidRDefault="007B33CE" w:rsidP="002D2EB8">
            <w:pPr>
              <w:jc w:val="center"/>
              <w:rPr>
                <w:rFonts w:cs="Times New Roman"/>
                <w:color w:val="000000"/>
              </w:rPr>
            </w:pPr>
            <w:r w:rsidRPr="00CB5053">
              <w:rPr>
                <w:rFonts w:cs="Times New Roman"/>
                <w:color w:val="000000"/>
              </w:rPr>
              <w:t>K3</w:t>
            </w:r>
          </w:p>
        </w:tc>
        <w:tc>
          <w:tcPr>
            <w:tcW w:w="5954" w:type="dxa"/>
            <w:tcBorders>
              <w:top w:val="nil"/>
              <w:left w:val="nil"/>
              <w:bottom w:val="single" w:sz="4" w:space="0" w:color="808080"/>
              <w:right w:val="single" w:sz="4" w:space="0" w:color="808080"/>
            </w:tcBorders>
            <w:shd w:val="clear" w:color="auto" w:fill="auto"/>
            <w:noWrap/>
            <w:vAlign w:val="center"/>
            <w:hideMark/>
          </w:tcPr>
          <w:p w14:paraId="7E0C9BBA" w14:textId="77777777" w:rsidR="007B33CE" w:rsidRPr="00CB5053" w:rsidRDefault="007B33CE" w:rsidP="002D2EB8">
            <w:pPr>
              <w:rPr>
                <w:rFonts w:cs="Times New Roman"/>
                <w:color w:val="000000"/>
              </w:rPr>
            </w:pPr>
            <w:r w:rsidRPr="00CB5053">
              <w:rPr>
                <w:rFonts w:cs="Times New Roman"/>
                <w:color w:val="000000"/>
              </w:rPr>
              <w:t>Dologi kiadások összesen</w:t>
            </w:r>
          </w:p>
        </w:tc>
        <w:tc>
          <w:tcPr>
            <w:tcW w:w="2409" w:type="dxa"/>
            <w:tcBorders>
              <w:top w:val="nil"/>
              <w:left w:val="nil"/>
              <w:bottom w:val="single" w:sz="4" w:space="0" w:color="808080"/>
              <w:right w:val="single" w:sz="4" w:space="0" w:color="808080"/>
            </w:tcBorders>
            <w:shd w:val="clear" w:color="auto" w:fill="auto"/>
            <w:noWrap/>
            <w:vAlign w:val="center"/>
          </w:tcPr>
          <w:p w14:paraId="44BF3AFC" w14:textId="77777777" w:rsidR="007B33CE" w:rsidRPr="00CB5053" w:rsidRDefault="007B33CE" w:rsidP="002D2EB8">
            <w:pPr>
              <w:jc w:val="right"/>
              <w:rPr>
                <w:rFonts w:cs="Times New Roman"/>
                <w:color w:val="000000"/>
              </w:rPr>
            </w:pPr>
            <w:r w:rsidRPr="00CB5053">
              <w:rPr>
                <w:rFonts w:cs="Times New Roman"/>
                <w:color w:val="000000"/>
              </w:rPr>
              <w:t>145.090.617 Ft</w:t>
            </w:r>
          </w:p>
        </w:tc>
      </w:tr>
      <w:tr w:rsidR="007B33CE" w:rsidRPr="00CB5053" w14:paraId="313F62DE"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700DA040" w14:textId="77777777" w:rsidR="007B33CE" w:rsidRPr="00CB5053" w:rsidRDefault="007B33CE" w:rsidP="002D2EB8">
            <w:pPr>
              <w:jc w:val="center"/>
              <w:rPr>
                <w:rFonts w:cs="Times New Roman"/>
                <w:color w:val="000000"/>
              </w:rPr>
            </w:pPr>
            <w:r w:rsidRPr="00CB5053">
              <w:rPr>
                <w:rFonts w:cs="Times New Roman"/>
                <w:color w:val="000000"/>
              </w:rPr>
              <w:t>5</w:t>
            </w:r>
          </w:p>
        </w:tc>
        <w:tc>
          <w:tcPr>
            <w:tcW w:w="891" w:type="dxa"/>
            <w:tcBorders>
              <w:top w:val="nil"/>
              <w:left w:val="nil"/>
              <w:bottom w:val="single" w:sz="4" w:space="0" w:color="808080"/>
              <w:right w:val="single" w:sz="4" w:space="0" w:color="808080"/>
            </w:tcBorders>
            <w:shd w:val="clear" w:color="auto" w:fill="auto"/>
            <w:noWrap/>
            <w:vAlign w:val="center"/>
            <w:hideMark/>
          </w:tcPr>
          <w:p w14:paraId="55C9BA73" w14:textId="77777777" w:rsidR="007B33CE" w:rsidRPr="00CB5053" w:rsidRDefault="007B33CE" w:rsidP="002D2EB8">
            <w:pPr>
              <w:jc w:val="center"/>
              <w:rPr>
                <w:rFonts w:cs="Times New Roman"/>
                <w:color w:val="000000"/>
              </w:rPr>
            </w:pPr>
            <w:r w:rsidRPr="00CB5053">
              <w:rPr>
                <w:rFonts w:cs="Times New Roman"/>
                <w:color w:val="000000"/>
              </w:rPr>
              <w:t>K4</w:t>
            </w:r>
          </w:p>
        </w:tc>
        <w:tc>
          <w:tcPr>
            <w:tcW w:w="5954" w:type="dxa"/>
            <w:tcBorders>
              <w:top w:val="nil"/>
              <w:left w:val="nil"/>
              <w:bottom w:val="single" w:sz="4" w:space="0" w:color="808080"/>
              <w:right w:val="single" w:sz="4" w:space="0" w:color="808080"/>
            </w:tcBorders>
            <w:shd w:val="clear" w:color="auto" w:fill="auto"/>
            <w:noWrap/>
            <w:vAlign w:val="center"/>
            <w:hideMark/>
          </w:tcPr>
          <w:p w14:paraId="3702A9B7" w14:textId="77777777" w:rsidR="007B33CE" w:rsidRPr="00CB5053" w:rsidRDefault="007B33CE" w:rsidP="002D2EB8">
            <w:pPr>
              <w:rPr>
                <w:rFonts w:cs="Times New Roman"/>
                <w:color w:val="000000"/>
              </w:rPr>
            </w:pPr>
            <w:r w:rsidRPr="00CB5053">
              <w:rPr>
                <w:rFonts w:cs="Times New Roman"/>
                <w:color w:val="000000"/>
              </w:rPr>
              <w:t>Ellátási díjak összesen</w:t>
            </w:r>
          </w:p>
        </w:tc>
        <w:tc>
          <w:tcPr>
            <w:tcW w:w="2409" w:type="dxa"/>
            <w:tcBorders>
              <w:top w:val="nil"/>
              <w:left w:val="nil"/>
              <w:bottom w:val="single" w:sz="4" w:space="0" w:color="808080"/>
              <w:right w:val="single" w:sz="4" w:space="0" w:color="808080"/>
            </w:tcBorders>
            <w:shd w:val="clear" w:color="auto" w:fill="auto"/>
            <w:noWrap/>
            <w:vAlign w:val="center"/>
          </w:tcPr>
          <w:p w14:paraId="7C35A672" w14:textId="77777777" w:rsidR="007B33CE" w:rsidRPr="00CB5053" w:rsidRDefault="007B33CE" w:rsidP="002D2EB8">
            <w:pPr>
              <w:jc w:val="right"/>
              <w:rPr>
                <w:rFonts w:cs="Times New Roman"/>
                <w:color w:val="000000"/>
              </w:rPr>
            </w:pPr>
            <w:r w:rsidRPr="00CB5053">
              <w:rPr>
                <w:rFonts w:cs="Times New Roman"/>
                <w:color w:val="000000"/>
              </w:rPr>
              <w:t>7.384.000 Ft</w:t>
            </w:r>
          </w:p>
        </w:tc>
      </w:tr>
      <w:tr w:rsidR="007B33CE" w:rsidRPr="00CB5053" w14:paraId="08397096"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67C0B770" w14:textId="77777777" w:rsidR="007B33CE" w:rsidRPr="00CB5053" w:rsidRDefault="007B33CE" w:rsidP="002D2EB8">
            <w:pPr>
              <w:jc w:val="center"/>
              <w:rPr>
                <w:rFonts w:cs="Times New Roman"/>
                <w:color w:val="000000"/>
              </w:rPr>
            </w:pPr>
            <w:r w:rsidRPr="00CB5053">
              <w:rPr>
                <w:rFonts w:cs="Times New Roman"/>
                <w:color w:val="000000"/>
              </w:rPr>
              <w:t>6</w:t>
            </w:r>
          </w:p>
        </w:tc>
        <w:tc>
          <w:tcPr>
            <w:tcW w:w="891" w:type="dxa"/>
            <w:tcBorders>
              <w:top w:val="nil"/>
              <w:left w:val="nil"/>
              <w:bottom w:val="single" w:sz="4" w:space="0" w:color="808080"/>
              <w:right w:val="single" w:sz="4" w:space="0" w:color="808080"/>
            </w:tcBorders>
            <w:shd w:val="clear" w:color="auto" w:fill="auto"/>
            <w:noWrap/>
            <w:vAlign w:val="center"/>
            <w:hideMark/>
          </w:tcPr>
          <w:p w14:paraId="674A26E4" w14:textId="77777777" w:rsidR="007B33CE" w:rsidRPr="00CB5053" w:rsidRDefault="007B33CE" w:rsidP="002D2EB8">
            <w:pPr>
              <w:jc w:val="center"/>
              <w:rPr>
                <w:rFonts w:cs="Times New Roman"/>
                <w:color w:val="000000"/>
              </w:rPr>
            </w:pPr>
            <w:r w:rsidRPr="00CB5053">
              <w:rPr>
                <w:rFonts w:cs="Times New Roman"/>
                <w:color w:val="000000"/>
              </w:rPr>
              <w:t>K5</w:t>
            </w:r>
          </w:p>
        </w:tc>
        <w:tc>
          <w:tcPr>
            <w:tcW w:w="5954" w:type="dxa"/>
            <w:tcBorders>
              <w:top w:val="nil"/>
              <w:left w:val="nil"/>
              <w:bottom w:val="single" w:sz="4" w:space="0" w:color="808080"/>
              <w:right w:val="single" w:sz="4" w:space="0" w:color="808080"/>
            </w:tcBorders>
            <w:shd w:val="clear" w:color="auto" w:fill="auto"/>
            <w:noWrap/>
            <w:vAlign w:val="center"/>
            <w:hideMark/>
          </w:tcPr>
          <w:p w14:paraId="22C2E58D" w14:textId="77777777" w:rsidR="007B33CE" w:rsidRPr="00CB5053" w:rsidRDefault="007B33CE" w:rsidP="002D2EB8">
            <w:pPr>
              <w:rPr>
                <w:rFonts w:cs="Times New Roman"/>
                <w:color w:val="000000"/>
              </w:rPr>
            </w:pPr>
            <w:r w:rsidRPr="00CB5053">
              <w:rPr>
                <w:rFonts w:cs="Times New Roman"/>
                <w:color w:val="000000"/>
              </w:rPr>
              <w:t>Egyéb működési célú kiadások</w:t>
            </w:r>
          </w:p>
        </w:tc>
        <w:tc>
          <w:tcPr>
            <w:tcW w:w="2409" w:type="dxa"/>
            <w:tcBorders>
              <w:top w:val="nil"/>
              <w:left w:val="nil"/>
              <w:bottom w:val="single" w:sz="4" w:space="0" w:color="808080"/>
              <w:right w:val="single" w:sz="4" w:space="0" w:color="808080"/>
            </w:tcBorders>
            <w:shd w:val="clear" w:color="auto" w:fill="auto"/>
            <w:noWrap/>
            <w:vAlign w:val="center"/>
          </w:tcPr>
          <w:p w14:paraId="29ED1B34" w14:textId="77777777" w:rsidR="007B33CE" w:rsidRPr="00CB5053" w:rsidRDefault="007B33CE" w:rsidP="002D2EB8">
            <w:pPr>
              <w:jc w:val="right"/>
              <w:rPr>
                <w:rFonts w:cs="Times New Roman"/>
                <w:color w:val="000000"/>
              </w:rPr>
            </w:pPr>
            <w:r w:rsidRPr="00CB5053">
              <w:rPr>
                <w:rFonts w:cs="Times New Roman"/>
                <w:color w:val="000000"/>
              </w:rPr>
              <w:t>13.900.000 Ft</w:t>
            </w:r>
          </w:p>
        </w:tc>
      </w:tr>
      <w:tr w:rsidR="007B33CE" w:rsidRPr="00CB5053" w14:paraId="6EDC7321"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EA0E40A" w14:textId="77777777" w:rsidR="007B33CE" w:rsidRPr="00CB5053" w:rsidRDefault="007B33CE" w:rsidP="002D2EB8">
            <w:pPr>
              <w:jc w:val="center"/>
              <w:rPr>
                <w:rFonts w:cs="Times New Roman"/>
                <w:color w:val="000000"/>
              </w:rPr>
            </w:pPr>
            <w:r w:rsidRPr="00CB5053">
              <w:rPr>
                <w:rFonts w:cs="Times New Roman"/>
                <w:color w:val="000000"/>
              </w:rPr>
              <w:t>7</w:t>
            </w:r>
          </w:p>
        </w:tc>
        <w:tc>
          <w:tcPr>
            <w:tcW w:w="891" w:type="dxa"/>
            <w:tcBorders>
              <w:top w:val="nil"/>
              <w:left w:val="nil"/>
              <w:bottom w:val="single" w:sz="4" w:space="0" w:color="808080"/>
              <w:right w:val="single" w:sz="4" w:space="0" w:color="808080"/>
            </w:tcBorders>
            <w:shd w:val="clear" w:color="auto" w:fill="auto"/>
            <w:noWrap/>
            <w:vAlign w:val="center"/>
            <w:hideMark/>
          </w:tcPr>
          <w:p w14:paraId="1D591A4B" w14:textId="77777777" w:rsidR="007B33CE" w:rsidRPr="00CB5053" w:rsidRDefault="007B33CE" w:rsidP="002D2EB8">
            <w:pPr>
              <w:jc w:val="center"/>
              <w:rPr>
                <w:rFonts w:cs="Times New Roman"/>
                <w:color w:val="000000"/>
              </w:rPr>
            </w:pPr>
            <w:r w:rsidRPr="00CB5053">
              <w:rPr>
                <w:rFonts w:cs="Times New Roman"/>
                <w:color w:val="000000"/>
              </w:rPr>
              <w:t>K6</w:t>
            </w:r>
          </w:p>
        </w:tc>
        <w:tc>
          <w:tcPr>
            <w:tcW w:w="5954" w:type="dxa"/>
            <w:tcBorders>
              <w:top w:val="nil"/>
              <w:left w:val="nil"/>
              <w:bottom w:val="single" w:sz="4" w:space="0" w:color="808080"/>
              <w:right w:val="single" w:sz="4" w:space="0" w:color="808080"/>
            </w:tcBorders>
            <w:shd w:val="clear" w:color="auto" w:fill="auto"/>
            <w:noWrap/>
            <w:vAlign w:val="center"/>
            <w:hideMark/>
          </w:tcPr>
          <w:p w14:paraId="7E526DBC" w14:textId="77777777" w:rsidR="007B33CE" w:rsidRPr="00CB5053" w:rsidRDefault="007B33CE" w:rsidP="002D2EB8">
            <w:pPr>
              <w:rPr>
                <w:rFonts w:cs="Times New Roman"/>
                <w:color w:val="000000"/>
              </w:rPr>
            </w:pPr>
            <w:r w:rsidRPr="00CB5053">
              <w:rPr>
                <w:rFonts w:cs="Times New Roman"/>
                <w:color w:val="000000"/>
              </w:rPr>
              <w:t>Beruházások</w:t>
            </w:r>
          </w:p>
        </w:tc>
        <w:tc>
          <w:tcPr>
            <w:tcW w:w="2409" w:type="dxa"/>
            <w:tcBorders>
              <w:top w:val="nil"/>
              <w:left w:val="nil"/>
              <w:bottom w:val="single" w:sz="4" w:space="0" w:color="808080"/>
              <w:right w:val="single" w:sz="4" w:space="0" w:color="808080"/>
            </w:tcBorders>
            <w:shd w:val="clear" w:color="auto" w:fill="auto"/>
            <w:noWrap/>
            <w:vAlign w:val="center"/>
          </w:tcPr>
          <w:p w14:paraId="3B48B1DE" w14:textId="77777777" w:rsidR="007B33CE" w:rsidRPr="00CB5053" w:rsidRDefault="007B33CE" w:rsidP="002D2EB8">
            <w:pPr>
              <w:jc w:val="right"/>
              <w:rPr>
                <w:rFonts w:cs="Times New Roman"/>
                <w:color w:val="000000"/>
              </w:rPr>
            </w:pPr>
            <w:r w:rsidRPr="00CB5053">
              <w:rPr>
                <w:rFonts w:cs="Times New Roman"/>
                <w:color w:val="000000"/>
              </w:rPr>
              <w:t>83.508.000 Ft</w:t>
            </w:r>
          </w:p>
        </w:tc>
      </w:tr>
      <w:tr w:rsidR="007B33CE" w:rsidRPr="00CB5053" w14:paraId="030FEC43"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A399EE5" w14:textId="77777777" w:rsidR="007B33CE" w:rsidRPr="00CB5053" w:rsidRDefault="007B33CE" w:rsidP="002D2EB8">
            <w:pPr>
              <w:jc w:val="center"/>
              <w:rPr>
                <w:rFonts w:cs="Times New Roman"/>
                <w:color w:val="000000"/>
              </w:rPr>
            </w:pPr>
            <w:r w:rsidRPr="00CB5053">
              <w:rPr>
                <w:rFonts w:cs="Times New Roman"/>
                <w:color w:val="000000"/>
              </w:rPr>
              <w:t>8</w:t>
            </w:r>
          </w:p>
        </w:tc>
        <w:tc>
          <w:tcPr>
            <w:tcW w:w="891" w:type="dxa"/>
            <w:tcBorders>
              <w:top w:val="nil"/>
              <w:left w:val="nil"/>
              <w:bottom w:val="single" w:sz="4" w:space="0" w:color="808080"/>
              <w:right w:val="single" w:sz="4" w:space="0" w:color="808080"/>
            </w:tcBorders>
            <w:shd w:val="clear" w:color="auto" w:fill="auto"/>
            <w:noWrap/>
            <w:vAlign w:val="center"/>
            <w:hideMark/>
          </w:tcPr>
          <w:p w14:paraId="2F916BDE" w14:textId="77777777" w:rsidR="007B33CE" w:rsidRPr="00CB5053" w:rsidRDefault="007B33CE" w:rsidP="002D2EB8">
            <w:pPr>
              <w:jc w:val="center"/>
              <w:rPr>
                <w:rFonts w:cs="Times New Roman"/>
                <w:color w:val="000000"/>
              </w:rPr>
            </w:pPr>
            <w:r w:rsidRPr="00CB5053">
              <w:rPr>
                <w:rFonts w:cs="Times New Roman"/>
                <w:color w:val="000000"/>
              </w:rPr>
              <w:t>K7</w:t>
            </w:r>
          </w:p>
        </w:tc>
        <w:tc>
          <w:tcPr>
            <w:tcW w:w="5954" w:type="dxa"/>
            <w:tcBorders>
              <w:top w:val="nil"/>
              <w:left w:val="nil"/>
              <w:bottom w:val="single" w:sz="4" w:space="0" w:color="808080"/>
              <w:right w:val="single" w:sz="4" w:space="0" w:color="808080"/>
            </w:tcBorders>
            <w:shd w:val="clear" w:color="auto" w:fill="auto"/>
            <w:noWrap/>
            <w:vAlign w:val="center"/>
            <w:hideMark/>
          </w:tcPr>
          <w:p w14:paraId="78E3F1B8" w14:textId="77777777" w:rsidR="007B33CE" w:rsidRPr="00CB5053" w:rsidRDefault="007B33CE" w:rsidP="002D2EB8">
            <w:pPr>
              <w:rPr>
                <w:rFonts w:cs="Times New Roman"/>
                <w:color w:val="000000"/>
              </w:rPr>
            </w:pPr>
            <w:r w:rsidRPr="00CB5053">
              <w:rPr>
                <w:rFonts w:cs="Times New Roman"/>
                <w:color w:val="000000"/>
              </w:rPr>
              <w:t>Felújítások</w:t>
            </w:r>
          </w:p>
        </w:tc>
        <w:tc>
          <w:tcPr>
            <w:tcW w:w="2409" w:type="dxa"/>
            <w:tcBorders>
              <w:top w:val="nil"/>
              <w:left w:val="nil"/>
              <w:bottom w:val="single" w:sz="4" w:space="0" w:color="808080"/>
              <w:right w:val="single" w:sz="4" w:space="0" w:color="808080"/>
            </w:tcBorders>
            <w:shd w:val="clear" w:color="auto" w:fill="auto"/>
            <w:noWrap/>
            <w:vAlign w:val="center"/>
          </w:tcPr>
          <w:p w14:paraId="5BBD2A63" w14:textId="77777777" w:rsidR="007B33CE" w:rsidRPr="00CB5053" w:rsidRDefault="007B33CE" w:rsidP="002D2EB8">
            <w:pPr>
              <w:jc w:val="right"/>
              <w:rPr>
                <w:rFonts w:cs="Times New Roman"/>
                <w:color w:val="000000"/>
              </w:rPr>
            </w:pPr>
            <w:r w:rsidRPr="00CB5053">
              <w:rPr>
                <w:rFonts w:cs="Times New Roman"/>
                <w:color w:val="000000"/>
              </w:rPr>
              <w:t>170.647.004 Ft</w:t>
            </w:r>
          </w:p>
        </w:tc>
      </w:tr>
      <w:tr w:rsidR="007B33CE" w:rsidRPr="00CB5053" w14:paraId="6197BE12"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4E78715" w14:textId="77777777" w:rsidR="007B33CE" w:rsidRPr="00CB5053" w:rsidRDefault="007B33CE" w:rsidP="002D2EB8">
            <w:pPr>
              <w:jc w:val="center"/>
              <w:rPr>
                <w:rFonts w:cs="Times New Roman"/>
                <w:color w:val="000000"/>
              </w:rPr>
            </w:pPr>
            <w:r w:rsidRPr="00CB5053">
              <w:rPr>
                <w:rFonts w:cs="Times New Roman"/>
                <w:color w:val="000000"/>
              </w:rPr>
              <w:t>9</w:t>
            </w:r>
          </w:p>
        </w:tc>
        <w:tc>
          <w:tcPr>
            <w:tcW w:w="891" w:type="dxa"/>
            <w:tcBorders>
              <w:top w:val="nil"/>
              <w:left w:val="nil"/>
              <w:bottom w:val="single" w:sz="4" w:space="0" w:color="808080"/>
              <w:right w:val="single" w:sz="4" w:space="0" w:color="808080"/>
            </w:tcBorders>
            <w:shd w:val="clear" w:color="auto" w:fill="auto"/>
            <w:noWrap/>
            <w:vAlign w:val="center"/>
            <w:hideMark/>
          </w:tcPr>
          <w:p w14:paraId="1135E1B6" w14:textId="77777777" w:rsidR="007B33CE" w:rsidRPr="00CB5053" w:rsidRDefault="007B33CE" w:rsidP="002D2EB8">
            <w:pPr>
              <w:jc w:val="center"/>
              <w:rPr>
                <w:rFonts w:cs="Times New Roman"/>
                <w:color w:val="000000"/>
              </w:rPr>
            </w:pPr>
            <w:r w:rsidRPr="00CB5053">
              <w:rPr>
                <w:rFonts w:cs="Times New Roman"/>
                <w:color w:val="000000"/>
              </w:rPr>
              <w:t>K8</w:t>
            </w:r>
          </w:p>
        </w:tc>
        <w:tc>
          <w:tcPr>
            <w:tcW w:w="5954" w:type="dxa"/>
            <w:tcBorders>
              <w:top w:val="nil"/>
              <w:left w:val="nil"/>
              <w:bottom w:val="single" w:sz="4" w:space="0" w:color="808080"/>
              <w:right w:val="single" w:sz="4" w:space="0" w:color="808080"/>
            </w:tcBorders>
            <w:shd w:val="clear" w:color="auto" w:fill="auto"/>
            <w:noWrap/>
            <w:vAlign w:val="center"/>
            <w:hideMark/>
          </w:tcPr>
          <w:p w14:paraId="5B20CC9F" w14:textId="77777777" w:rsidR="007B33CE" w:rsidRPr="00CB5053" w:rsidRDefault="007B33CE" w:rsidP="002D2EB8">
            <w:pPr>
              <w:rPr>
                <w:rFonts w:cs="Times New Roman"/>
                <w:color w:val="000000"/>
              </w:rPr>
            </w:pPr>
            <w:r w:rsidRPr="00CB5053">
              <w:rPr>
                <w:rFonts w:cs="Times New Roman"/>
                <w:color w:val="000000"/>
              </w:rPr>
              <w:t>Egyéb felhalmozási kiadások</w:t>
            </w:r>
          </w:p>
        </w:tc>
        <w:tc>
          <w:tcPr>
            <w:tcW w:w="2409" w:type="dxa"/>
            <w:tcBorders>
              <w:top w:val="nil"/>
              <w:left w:val="nil"/>
              <w:bottom w:val="single" w:sz="4" w:space="0" w:color="808080"/>
              <w:right w:val="single" w:sz="4" w:space="0" w:color="808080"/>
            </w:tcBorders>
            <w:shd w:val="clear" w:color="auto" w:fill="auto"/>
            <w:noWrap/>
            <w:vAlign w:val="center"/>
          </w:tcPr>
          <w:p w14:paraId="1456D0DF" w14:textId="77777777" w:rsidR="007B33CE" w:rsidRPr="00CB5053" w:rsidRDefault="007B33CE" w:rsidP="002D2EB8">
            <w:pPr>
              <w:jc w:val="right"/>
              <w:rPr>
                <w:rFonts w:cs="Times New Roman"/>
                <w:color w:val="000000"/>
              </w:rPr>
            </w:pPr>
            <w:r w:rsidRPr="00CB5053">
              <w:rPr>
                <w:rFonts w:cs="Times New Roman"/>
                <w:color w:val="000000"/>
              </w:rPr>
              <w:t>0 Ft</w:t>
            </w:r>
          </w:p>
        </w:tc>
      </w:tr>
      <w:tr w:rsidR="007B33CE" w:rsidRPr="00CB5053" w14:paraId="43F8A744"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1563A82F" w14:textId="77777777" w:rsidR="007B33CE" w:rsidRPr="00CB5053" w:rsidRDefault="007B33CE" w:rsidP="002D2EB8">
            <w:pPr>
              <w:jc w:val="center"/>
              <w:rPr>
                <w:rFonts w:cs="Times New Roman"/>
                <w:color w:val="000000"/>
              </w:rPr>
            </w:pPr>
            <w:r w:rsidRPr="00CB5053">
              <w:rPr>
                <w:rFonts w:cs="Times New Roman"/>
                <w:color w:val="000000"/>
              </w:rPr>
              <w:t>10</w:t>
            </w:r>
          </w:p>
        </w:tc>
        <w:tc>
          <w:tcPr>
            <w:tcW w:w="891" w:type="dxa"/>
            <w:tcBorders>
              <w:top w:val="nil"/>
              <w:left w:val="nil"/>
              <w:bottom w:val="single" w:sz="4" w:space="0" w:color="808080"/>
              <w:right w:val="single" w:sz="4" w:space="0" w:color="808080"/>
            </w:tcBorders>
            <w:shd w:val="clear" w:color="auto" w:fill="auto"/>
            <w:noWrap/>
            <w:vAlign w:val="center"/>
            <w:hideMark/>
          </w:tcPr>
          <w:p w14:paraId="2B37DF47" w14:textId="77777777" w:rsidR="007B33CE" w:rsidRPr="00CB5053" w:rsidRDefault="007B33CE" w:rsidP="002D2EB8">
            <w:pPr>
              <w:jc w:val="center"/>
              <w:rPr>
                <w:rFonts w:cs="Times New Roman"/>
                <w:color w:val="000000"/>
              </w:rPr>
            </w:pPr>
            <w:r w:rsidRPr="00CB5053">
              <w:rPr>
                <w:rFonts w:cs="Times New Roman"/>
                <w:color w:val="000000"/>
              </w:rPr>
              <w:t>K9</w:t>
            </w:r>
          </w:p>
        </w:tc>
        <w:tc>
          <w:tcPr>
            <w:tcW w:w="5954" w:type="dxa"/>
            <w:tcBorders>
              <w:top w:val="nil"/>
              <w:left w:val="nil"/>
              <w:bottom w:val="single" w:sz="4" w:space="0" w:color="808080"/>
              <w:right w:val="single" w:sz="4" w:space="0" w:color="808080"/>
            </w:tcBorders>
            <w:shd w:val="clear" w:color="auto" w:fill="auto"/>
            <w:noWrap/>
            <w:vAlign w:val="center"/>
            <w:hideMark/>
          </w:tcPr>
          <w:p w14:paraId="197D7638" w14:textId="77777777" w:rsidR="007B33CE" w:rsidRPr="00CB5053" w:rsidRDefault="007B33CE" w:rsidP="002D2EB8">
            <w:pPr>
              <w:rPr>
                <w:rFonts w:cs="Times New Roman"/>
                <w:color w:val="000000"/>
              </w:rPr>
            </w:pPr>
            <w:r w:rsidRPr="00CB5053">
              <w:rPr>
                <w:rFonts w:cs="Times New Roman"/>
                <w:color w:val="000000"/>
              </w:rPr>
              <w:t>Finanszírozási kiadások</w:t>
            </w:r>
          </w:p>
        </w:tc>
        <w:tc>
          <w:tcPr>
            <w:tcW w:w="2409" w:type="dxa"/>
            <w:tcBorders>
              <w:top w:val="nil"/>
              <w:left w:val="nil"/>
              <w:bottom w:val="single" w:sz="4" w:space="0" w:color="808080"/>
              <w:right w:val="single" w:sz="4" w:space="0" w:color="808080"/>
            </w:tcBorders>
            <w:shd w:val="clear" w:color="auto" w:fill="auto"/>
            <w:noWrap/>
            <w:vAlign w:val="center"/>
          </w:tcPr>
          <w:p w14:paraId="7D2D0A7F" w14:textId="77777777" w:rsidR="007B33CE" w:rsidRPr="00CB5053" w:rsidRDefault="007B33CE" w:rsidP="002D2EB8">
            <w:pPr>
              <w:jc w:val="right"/>
              <w:rPr>
                <w:rFonts w:cs="Times New Roman"/>
                <w:color w:val="000000"/>
              </w:rPr>
            </w:pPr>
            <w:r w:rsidRPr="00CB5053">
              <w:rPr>
                <w:rFonts w:cs="Times New Roman"/>
                <w:color w:val="000000"/>
              </w:rPr>
              <w:t>0 Ft</w:t>
            </w:r>
          </w:p>
        </w:tc>
      </w:tr>
      <w:tr w:rsidR="007B33CE" w:rsidRPr="00CB5053" w14:paraId="3AAC831F" w14:textId="77777777" w:rsidTr="002D2EB8">
        <w:trPr>
          <w:trHeight w:val="315"/>
        </w:trPr>
        <w:tc>
          <w:tcPr>
            <w:tcW w:w="380" w:type="dxa"/>
            <w:tcBorders>
              <w:top w:val="nil"/>
              <w:left w:val="single" w:sz="4" w:space="0" w:color="808080"/>
              <w:bottom w:val="single" w:sz="4" w:space="0" w:color="808080"/>
              <w:right w:val="single" w:sz="4" w:space="0" w:color="808080"/>
            </w:tcBorders>
            <w:shd w:val="clear" w:color="auto" w:fill="auto"/>
            <w:noWrap/>
            <w:vAlign w:val="center"/>
            <w:hideMark/>
          </w:tcPr>
          <w:p w14:paraId="3535C2BB" w14:textId="77777777" w:rsidR="007B33CE" w:rsidRPr="00CB5053" w:rsidRDefault="007B33CE" w:rsidP="002D2EB8">
            <w:pPr>
              <w:jc w:val="center"/>
              <w:rPr>
                <w:rFonts w:cs="Times New Roman"/>
                <w:color w:val="000000"/>
              </w:rPr>
            </w:pPr>
            <w:r w:rsidRPr="00CB5053">
              <w:rPr>
                <w:rFonts w:cs="Times New Roman"/>
                <w:color w:val="000000"/>
              </w:rPr>
              <w:t>11</w:t>
            </w:r>
          </w:p>
        </w:tc>
        <w:tc>
          <w:tcPr>
            <w:tcW w:w="891" w:type="dxa"/>
            <w:tcBorders>
              <w:top w:val="nil"/>
              <w:left w:val="nil"/>
              <w:bottom w:val="single" w:sz="4" w:space="0" w:color="808080"/>
              <w:right w:val="single" w:sz="4" w:space="0" w:color="808080"/>
            </w:tcBorders>
            <w:shd w:val="clear" w:color="auto" w:fill="auto"/>
            <w:noWrap/>
            <w:vAlign w:val="center"/>
            <w:hideMark/>
          </w:tcPr>
          <w:p w14:paraId="6A7C5068" w14:textId="77777777" w:rsidR="007B33CE" w:rsidRPr="00CB5053" w:rsidRDefault="007B33CE" w:rsidP="002D2EB8">
            <w:pPr>
              <w:jc w:val="center"/>
              <w:rPr>
                <w:rFonts w:cs="Times New Roman"/>
                <w:b/>
                <w:bCs/>
                <w:color w:val="000000"/>
              </w:rPr>
            </w:pPr>
            <w:r w:rsidRPr="00CB5053">
              <w:rPr>
                <w:rFonts w:cs="Times New Roman"/>
                <w:b/>
                <w:bCs/>
                <w:color w:val="000000"/>
              </w:rPr>
              <w:t> </w:t>
            </w:r>
          </w:p>
        </w:tc>
        <w:tc>
          <w:tcPr>
            <w:tcW w:w="5954" w:type="dxa"/>
            <w:tcBorders>
              <w:top w:val="nil"/>
              <w:left w:val="nil"/>
              <w:bottom w:val="single" w:sz="4" w:space="0" w:color="808080"/>
              <w:right w:val="single" w:sz="4" w:space="0" w:color="808080"/>
            </w:tcBorders>
            <w:shd w:val="clear" w:color="auto" w:fill="auto"/>
            <w:noWrap/>
            <w:vAlign w:val="center"/>
            <w:hideMark/>
          </w:tcPr>
          <w:p w14:paraId="3E2582C5" w14:textId="77777777" w:rsidR="007B33CE" w:rsidRPr="00CB5053" w:rsidRDefault="007B33CE" w:rsidP="002D2EB8">
            <w:pPr>
              <w:rPr>
                <w:rFonts w:cs="Times New Roman"/>
                <w:b/>
                <w:bCs/>
                <w:color w:val="000000"/>
              </w:rPr>
            </w:pPr>
            <w:r w:rsidRPr="00CB5053">
              <w:rPr>
                <w:rFonts w:cs="Times New Roman"/>
                <w:b/>
                <w:bCs/>
                <w:color w:val="000000"/>
              </w:rPr>
              <w:t>Összesen</w:t>
            </w:r>
          </w:p>
        </w:tc>
        <w:tc>
          <w:tcPr>
            <w:tcW w:w="2409" w:type="dxa"/>
            <w:tcBorders>
              <w:top w:val="nil"/>
              <w:left w:val="nil"/>
              <w:bottom w:val="single" w:sz="4" w:space="0" w:color="808080"/>
              <w:right w:val="single" w:sz="4" w:space="0" w:color="808080"/>
            </w:tcBorders>
            <w:shd w:val="clear" w:color="auto" w:fill="auto"/>
            <w:noWrap/>
            <w:vAlign w:val="center"/>
          </w:tcPr>
          <w:p w14:paraId="40168301" w14:textId="70DD97F5" w:rsidR="007B33CE" w:rsidRPr="00CB5053" w:rsidRDefault="00D3542C" w:rsidP="002D2EB8">
            <w:pPr>
              <w:jc w:val="right"/>
              <w:rPr>
                <w:rFonts w:cs="Times New Roman"/>
                <w:b/>
                <w:bCs/>
                <w:color w:val="000000"/>
              </w:rPr>
            </w:pPr>
            <w:r>
              <w:rPr>
                <w:rFonts w:cs="Times New Roman"/>
                <w:b/>
                <w:bCs/>
                <w:color w:val="000000"/>
              </w:rPr>
              <w:t>643.617.129</w:t>
            </w:r>
            <w:r w:rsidR="007B33CE" w:rsidRPr="00CB5053">
              <w:rPr>
                <w:rFonts w:cs="Times New Roman"/>
                <w:b/>
                <w:bCs/>
                <w:color w:val="000000"/>
              </w:rPr>
              <w:t xml:space="preserve"> Ft</w:t>
            </w:r>
          </w:p>
        </w:tc>
      </w:tr>
    </w:tbl>
    <w:p w14:paraId="17072B36" w14:textId="77777777" w:rsidR="00673BB8" w:rsidRPr="00CB5053" w:rsidRDefault="00673BB8" w:rsidP="00673BB8">
      <w:pPr>
        <w:tabs>
          <w:tab w:val="center" w:pos="6804"/>
        </w:tabs>
        <w:rPr>
          <w:rFonts w:cs="Times New Roman"/>
          <w:b/>
          <w:bCs/>
        </w:rPr>
      </w:pPr>
    </w:p>
    <w:p w14:paraId="09117E07" w14:textId="77777777" w:rsidR="00673BB8" w:rsidRPr="00CB5053" w:rsidRDefault="00673BB8" w:rsidP="00673BB8">
      <w:pPr>
        <w:tabs>
          <w:tab w:val="center" w:pos="6804"/>
        </w:tabs>
        <w:jc w:val="both"/>
        <w:rPr>
          <w:rFonts w:cs="Times New Roman"/>
        </w:rPr>
      </w:pPr>
    </w:p>
    <w:p w14:paraId="7F1C89FD" w14:textId="77777777" w:rsidR="00673BB8" w:rsidRPr="00CB5053" w:rsidRDefault="00673BB8" w:rsidP="00673BB8">
      <w:pPr>
        <w:tabs>
          <w:tab w:val="center" w:pos="6804"/>
        </w:tabs>
        <w:jc w:val="both"/>
        <w:rPr>
          <w:rFonts w:cs="Times New Roman"/>
        </w:rPr>
      </w:pPr>
      <w:r w:rsidRPr="00CB5053">
        <w:rPr>
          <w:rFonts w:cs="Times New Roman"/>
        </w:rPr>
        <w:br w:type="page"/>
      </w:r>
    </w:p>
    <w:p w14:paraId="04E698A3" w14:textId="77777777" w:rsidR="00673BB8" w:rsidRPr="00CB5053" w:rsidRDefault="00673BB8" w:rsidP="00673BB8">
      <w:pPr>
        <w:pStyle w:val="Nincstrkz"/>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center"/>
        <w:rPr>
          <w:rFonts w:ascii="Times New Roman" w:hAnsi="Times New Roman" w:cs="Times New Roman"/>
          <w:sz w:val="24"/>
          <w:szCs w:val="24"/>
        </w:rPr>
      </w:pPr>
      <w:r w:rsidRPr="00CB5053">
        <w:rPr>
          <w:rFonts w:ascii="Times New Roman" w:hAnsi="Times New Roman" w:cs="Times New Roman"/>
          <w:sz w:val="24"/>
          <w:szCs w:val="24"/>
        </w:rPr>
        <w:lastRenderedPageBreak/>
        <w:t>RENDELET-ALKOTÁSI JAVASLAT (TESTÜLET)</w:t>
      </w:r>
    </w:p>
    <w:p w14:paraId="1D7A6415" w14:textId="77777777" w:rsidR="00673BB8" w:rsidRPr="00CB5053" w:rsidRDefault="00673BB8" w:rsidP="00673BB8">
      <w:pPr>
        <w:tabs>
          <w:tab w:val="center" w:pos="6804"/>
        </w:tabs>
        <w:jc w:val="both"/>
        <w:rPr>
          <w:rFonts w:cs="Times New Roman"/>
        </w:rPr>
      </w:pPr>
    </w:p>
    <w:p w14:paraId="13611E2A"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Zebegény Község Önkormányzata Képviselő-testületének</w:t>
      </w:r>
    </w:p>
    <w:p w14:paraId="0FCEF6B8"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.../20.. (… . … .) önkormányzati rendelete</w:t>
      </w:r>
    </w:p>
    <w:p w14:paraId="11DBB2EF"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az önkormányzat 2025. évi költségvetéséről</w:t>
      </w:r>
    </w:p>
    <w:p w14:paraId="346C363E"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p>
    <w:p w14:paraId="223FCC04" w14:textId="77777777" w:rsidR="00F34D01" w:rsidRPr="00CB5053" w:rsidRDefault="00F34D01" w:rsidP="00F34D01">
      <w:pPr>
        <w:jc w:val="both"/>
        <w:rPr>
          <w:rFonts w:eastAsia="Times New Roman" w:cs="Times New Roman"/>
          <w:color w:val="000000"/>
          <w:lang w:eastAsia="hu-HU"/>
        </w:rPr>
      </w:pPr>
      <w:r w:rsidRPr="00CB5053">
        <w:rPr>
          <w:rFonts w:eastAsia="Times New Roman" w:cs="Times New Roman"/>
          <w:color w:val="000000"/>
          <w:lang w:eastAsia="hu-HU"/>
        </w:rPr>
        <w:t>(1) A Magyarország helyi önkormányzatairól szóló 2011. évi CLXXXIX. törvény 111. § (2) bekezdés alapján a helyi önkormányzat gazdálkodásának alapja az éves költségvetése, melyből finanszírozza és látja el törvényben meghatározott kötelező és önként vállalt feladatait,</w:t>
      </w:r>
    </w:p>
    <w:p w14:paraId="0482761F" w14:textId="77777777" w:rsidR="00F34D01" w:rsidRPr="00CB5053" w:rsidRDefault="00F34D01" w:rsidP="00F34D01">
      <w:pPr>
        <w:rPr>
          <w:rFonts w:eastAsia="Times New Roman" w:cs="Times New Roman"/>
          <w:color w:val="000000"/>
          <w:lang w:eastAsia="hu-HU"/>
        </w:rPr>
      </w:pPr>
    </w:p>
    <w:p w14:paraId="1BFA2D60" w14:textId="77777777" w:rsidR="00F34D01" w:rsidRPr="00CB5053" w:rsidRDefault="00F34D01" w:rsidP="00F34D01">
      <w:pPr>
        <w:jc w:val="both"/>
        <w:rPr>
          <w:rFonts w:eastAsia="Times New Roman" w:cs="Times New Roman"/>
          <w:color w:val="000000"/>
          <w:lang w:eastAsia="hu-HU"/>
        </w:rPr>
      </w:pPr>
      <w:r w:rsidRPr="00CB5053">
        <w:rPr>
          <w:rFonts w:eastAsia="Times New Roman" w:cs="Times New Roman"/>
          <w:color w:val="000000"/>
          <w:lang w:eastAsia="hu-HU"/>
        </w:rPr>
        <w:t>(2) Zebegény Község Önkormányzatának éves költségvetése a települési szolgáltatások működtetését és a településfejlesztési célok megvalósítását egyaránt lehetővé tevő, kiegyensúlyozott gazdálkodás elve szerint került összeállításra,</w:t>
      </w:r>
    </w:p>
    <w:p w14:paraId="67AB727F" w14:textId="77777777" w:rsidR="00F34D01" w:rsidRPr="00CB5053" w:rsidRDefault="00F34D01" w:rsidP="00F34D01">
      <w:pPr>
        <w:rPr>
          <w:rFonts w:eastAsia="Times New Roman" w:cs="Times New Roman"/>
          <w:color w:val="000000"/>
          <w:lang w:eastAsia="hu-HU"/>
        </w:rPr>
      </w:pPr>
    </w:p>
    <w:p w14:paraId="37545BF0" w14:textId="77777777" w:rsidR="00F34D01" w:rsidRPr="00CB5053" w:rsidRDefault="00F34D01" w:rsidP="00F34D01">
      <w:pPr>
        <w:jc w:val="both"/>
        <w:rPr>
          <w:rFonts w:eastAsia="Times New Roman" w:cs="Times New Roman"/>
          <w:color w:val="000000"/>
          <w:lang w:eastAsia="hu-HU"/>
        </w:rPr>
      </w:pPr>
      <w:r w:rsidRPr="00CB5053">
        <w:rPr>
          <w:rFonts w:eastAsia="Times New Roman" w:cs="Times New Roman"/>
          <w:color w:val="000000"/>
          <w:lang w:eastAsia="hu-HU"/>
        </w:rPr>
        <w:t>(3) Zebegény Község Önkormányzatának Képviselő-testülete az Alaptörvény 32. cikk (2) bekezdésében meghatározott eredeti jogalkotói hatáskörében, az Alaptörvény 32. cikk (1) bekezdés f) pontjában meghatározott feladatkörében, a Magyarország 2025. évi központi költségvetéséről szóló 2024. évi XC. törvény 64. § (5) bekezdésében és a közszolgálati tisztviselőkről szóló 2011. évi CXCIX. törvény 234. § (3) és (4) bekezdésében kapott felhatalmazás alapján, az államháztartásról szóló 2011. évi CXCV. törvény, az államháztartásról szóló törvény végrehajtásáról szóló 368/2011. (XII.31.) Kormányrendelet, a jogalkotásról szóló 2010. évi CXXX. törvény, a nemzeti köznevelésről szóló 2011. évi CXC. törvény, valamint Magyarország gazdasági stabilitásáról szóló 2011. évi CXCIV. törvény előírásaira figyelemmel, az Önkormányzat 2025. évi költségvetéséről a következőket rendeli el:</w:t>
      </w:r>
    </w:p>
    <w:p w14:paraId="3A57CBF2" w14:textId="77777777" w:rsidR="00F34D01" w:rsidRPr="00CB5053" w:rsidRDefault="00F34D01" w:rsidP="00F34D01">
      <w:pPr>
        <w:rPr>
          <w:rFonts w:eastAsia="Times New Roman" w:cs="Times New Roman"/>
          <w:color w:val="000000"/>
          <w:lang w:eastAsia="hu-HU"/>
        </w:rPr>
      </w:pPr>
    </w:p>
    <w:p w14:paraId="5731125F"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1. A rendelet hatálya</w:t>
      </w:r>
    </w:p>
    <w:p w14:paraId="109AAE24"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1. §</w:t>
      </w:r>
    </w:p>
    <w:p w14:paraId="19175693"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p>
    <w:p w14:paraId="2EEDA09D" w14:textId="77777777" w:rsidR="000E3416" w:rsidRPr="00CB5053" w:rsidRDefault="000E3416" w:rsidP="000E3416">
      <w:pPr>
        <w:jc w:val="both"/>
        <w:rPr>
          <w:rFonts w:eastAsia="Times New Roman" w:cs="Times New Roman"/>
          <w:color w:val="000000"/>
          <w:lang w:eastAsia="hu-HU"/>
        </w:rPr>
      </w:pPr>
      <w:r w:rsidRPr="00CB5053">
        <w:rPr>
          <w:rFonts w:eastAsia="Times New Roman" w:cs="Times New Roman"/>
          <w:color w:val="000000"/>
          <w:lang w:eastAsia="hu-HU"/>
        </w:rPr>
        <w:t>A rendelet hatálya Zebegény Község Önkormányzata Képviselő-testületére és szerveire, Zebegény Község Önkormányzata irányítása alá tartozó költségvetési szerveire, valamint a támogatásban részesített magánszemélyekre, jogi személyekre, jogi személyiséggel nem rendelkező szervezetekre terjed ki.</w:t>
      </w:r>
    </w:p>
    <w:p w14:paraId="6D377123" w14:textId="77777777" w:rsidR="000E3416" w:rsidRPr="00CB5053" w:rsidRDefault="000E3416" w:rsidP="000E3416">
      <w:pPr>
        <w:rPr>
          <w:rFonts w:eastAsia="Times New Roman" w:cs="Times New Roman"/>
          <w:color w:val="000000"/>
          <w:lang w:eastAsia="hu-HU"/>
        </w:rPr>
      </w:pPr>
    </w:p>
    <w:p w14:paraId="6AE1ED74" w14:textId="77777777" w:rsidR="00796EC3" w:rsidRPr="00CB5053" w:rsidRDefault="00796EC3" w:rsidP="00796EC3">
      <w:pPr>
        <w:widowControl/>
        <w:suppressAutoHyphens w:val="0"/>
        <w:rPr>
          <w:rFonts w:eastAsia="Times New Roman" w:cs="Times New Roman"/>
          <w:color w:val="000000"/>
          <w:kern w:val="0"/>
          <w:lang w:eastAsia="hu-HU" w:bidi="ar-SA"/>
        </w:rPr>
      </w:pPr>
    </w:p>
    <w:p w14:paraId="785F64A3"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2. A költségvetés bevételei és kiadásai</w:t>
      </w:r>
    </w:p>
    <w:p w14:paraId="7EA4B7D3"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r w:rsidRPr="00796EC3">
        <w:rPr>
          <w:rFonts w:eastAsia="Times New Roman" w:cs="Times New Roman"/>
          <w:b/>
          <w:bCs/>
          <w:color w:val="000000"/>
          <w:kern w:val="0"/>
          <w:lang w:eastAsia="hu-HU" w:bidi="ar-SA"/>
        </w:rPr>
        <w:t>2. §</w:t>
      </w:r>
    </w:p>
    <w:p w14:paraId="102D082D" w14:textId="77777777" w:rsidR="00796EC3" w:rsidRPr="00CB5053" w:rsidRDefault="00796EC3" w:rsidP="00796EC3">
      <w:pPr>
        <w:widowControl/>
        <w:suppressAutoHyphens w:val="0"/>
        <w:jc w:val="center"/>
        <w:rPr>
          <w:rFonts w:eastAsia="Times New Roman" w:cs="Times New Roman"/>
          <w:b/>
          <w:bCs/>
          <w:color w:val="000000"/>
          <w:kern w:val="0"/>
          <w:lang w:eastAsia="hu-HU" w:bidi="ar-SA"/>
        </w:rPr>
      </w:pPr>
    </w:p>
    <w:p w14:paraId="2A9F56D4"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(1) Zebegény Község Önkormányzata Képviselő-testülete a 2025. évi költségvetését</w:t>
      </w:r>
    </w:p>
    <w:p w14:paraId="3DD2CA7F" w14:textId="393E359C" w:rsidR="00796EC3" w:rsidRPr="00CB5053" w:rsidRDefault="00D3542C" w:rsidP="00796EC3">
      <w:pPr>
        <w:widowControl/>
        <w:suppressAutoHyphens w:val="0"/>
        <w:rPr>
          <w:rFonts w:eastAsia="Times New Roman" w:cs="Times New Roman"/>
          <w:color w:val="000000"/>
          <w:kern w:val="0"/>
          <w:lang w:eastAsia="hu-HU" w:bidi="ar-SA"/>
        </w:rPr>
      </w:pPr>
      <w:r>
        <w:rPr>
          <w:rFonts w:eastAsia="Times New Roman" w:cs="Times New Roman"/>
          <w:color w:val="000000"/>
          <w:kern w:val="0"/>
          <w:lang w:eastAsia="hu-HU" w:bidi="ar-SA"/>
        </w:rPr>
        <w:t>a) 643.617.129</w:t>
      </w:r>
      <w:r w:rsidR="00796EC3" w:rsidRPr="00796EC3">
        <w:rPr>
          <w:rFonts w:eastAsia="Times New Roman" w:cs="Times New Roman"/>
          <w:color w:val="000000"/>
          <w:kern w:val="0"/>
          <w:lang w:eastAsia="hu-HU" w:bidi="ar-SA"/>
        </w:rPr>
        <w:t xml:space="preserve"> Ft költségvetési bevétellel,</w:t>
      </w:r>
    </w:p>
    <w:p w14:paraId="5AAF4EEA" w14:textId="414B973E" w:rsidR="00796EC3" w:rsidRPr="00CB5053" w:rsidRDefault="00D3542C" w:rsidP="00796EC3">
      <w:pPr>
        <w:widowControl/>
        <w:suppressAutoHyphens w:val="0"/>
        <w:rPr>
          <w:rFonts w:eastAsia="Times New Roman" w:cs="Times New Roman"/>
          <w:color w:val="000000"/>
          <w:kern w:val="0"/>
          <w:lang w:eastAsia="hu-HU" w:bidi="ar-SA"/>
        </w:rPr>
      </w:pPr>
      <w:r>
        <w:rPr>
          <w:rFonts w:eastAsia="Times New Roman" w:cs="Times New Roman"/>
          <w:color w:val="000000"/>
          <w:kern w:val="0"/>
          <w:lang w:eastAsia="hu-HU" w:bidi="ar-SA"/>
        </w:rPr>
        <w:t>b) 643.617.129</w:t>
      </w:r>
      <w:r w:rsidR="00796EC3" w:rsidRPr="00796EC3">
        <w:rPr>
          <w:rFonts w:eastAsia="Times New Roman" w:cs="Times New Roman"/>
          <w:color w:val="000000"/>
          <w:kern w:val="0"/>
          <w:lang w:eastAsia="hu-HU" w:bidi="ar-SA"/>
        </w:rPr>
        <w:t xml:space="preserve"> Ft költségvetési kiadással,</w:t>
      </w:r>
    </w:p>
    <w:p w14:paraId="12734C9D"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c) 0 Ft költségvetési egyenleggel,</w:t>
      </w:r>
    </w:p>
    <w:p w14:paraId="6C4EE233"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d) 0 Ft - ebből működési (</w:t>
      </w:r>
      <w:proofErr w:type="spellStart"/>
      <w:r w:rsidRPr="00796EC3">
        <w:rPr>
          <w:rFonts w:eastAsia="Times New Roman" w:cs="Times New Roman"/>
          <w:color w:val="000000"/>
          <w:kern w:val="0"/>
          <w:lang w:eastAsia="hu-HU" w:bidi="ar-SA"/>
        </w:rPr>
        <w:t>hiány,többlet</w:t>
      </w:r>
      <w:proofErr w:type="spellEnd"/>
      <w:r w:rsidRPr="00796EC3">
        <w:rPr>
          <w:rFonts w:eastAsia="Times New Roman" w:cs="Times New Roman"/>
          <w:color w:val="000000"/>
          <w:kern w:val="0"/>
          <w:lang w:eastAsia="hu-HU" w:bidi="ar-SA"/>
        </w:rPr>
        <w:t>)</w:t>
      </w:r>
    </w:p>
    <w:p w14:paraId="29489D17"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e) 0 Ft - felhalmozási (</w:t>
      </w:r>
      <w:proofErr w:type="spellStart"/>
      <w:r w:rsidRPr="00796EC3">
        <w:rPr>
          <w:rFonts w:eastAsia="Times New Roman" w:cs="Times New Roman"/>
          <w:color w:val="000000"/>
          <w:kern w:val="0"/>
          <w:lang w:eastAsia="hu-HU" w:bidi="ar-SA"/>
        </w:rPr>
        <w:t>hiány,többlet</w:t>
      </w:r>
      <w:proofErr w:type="spellEnd"/>
      <w:r w:rsidRPr="00796EC3">
        <w:rPr>
          <w:rFonts w:eastAsia="Times New Roman" w:cs="Times New Roman"/>
          <w:color w:val="000000"/>
          <w:kern w:val="0"/>
          <w:lang w:eastAsia="hu-HU" w:bidi="ar-SA"/>
        </w:rPr>
        <w:t>)</w:t>
      </w:r>
    </w:p>
    <w:p w14:paraId="61BF37D2"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állapítja meg.</w:t>
      </w:r>
    </w:p>
    <w:p w14:paraId="7FCD6387" w14:textId="77777777" w:rsidR="00796EC3" w:rsidRPr="00CB5053" w:rsidRDefault="00796EC3" w:rsidP="00796EC3">
      <w:pPr>
        <w:widowControl/>
        <w:suppressAutoHyphens w:val="0"/>
        <w:rPr>
          <w:rFonts w:eastAsia="Times New Roman" w:cs="Times New Roman"/>
          <w:color w:val="000000"/>
          <w:kern w:val="0"/>
          <w:lang w:eastAsia="hu-HU" w:bidi="ar-SA"/>
        </w:rPr>
      </w:pPr>
    </w:p>
    <w:p w14:paraId="057035FF"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(2) A kiadási főösszegen belül a kiemelt előirányzatokat</w:t>
      </w:r>
    </w:p>
    <w:p w14:paraId="3CD4262B" w14:textId="584DB3E6" w:rsidR="00796EC3" w:rsidRPr="00CB5053" w:rsidRDefault="00F57948" w:rsidP="00796EC3">
      <w:pPr>
        <w:widowControl/>
        <w:suppressAutoHyphens w:val="0"/>
        <w:rPr>
          <w:rFonts w:eastAsia="Times New Roman" w:cs="Times New Roman"/>
          <w:color w:val="000000"/>
          <w:kern w:val="0"/>
          <w:lang w:eastAsia="hu-HU" w:bidi="ar-SA"/>
        </w:rPr>
      </w:pPr>
      <w:r>
        <w:rPr>
          <w:rFonts w:eastAsia="Times New Roman" w:cs="Times New Roman"/>
          <w:color w:val="000000"/>
          <w:kern w:val="0"/>
          <w:lang w:eastAsia="hu-HU" w:bidi="ar-SA"/>
        </w:rPr>
        <w:t>a) 389.462.125</w:t>
      </w:r>
      <w:r w:rsidR="00796EC3" w:rsidRPr="00796EC3">
        <w:rPr>
          <w:rFonts w:eastAsia="Times New Roman" w:cs="Times New Roman"/>
          <w:color w:val="000000"/>
          <w:kern w:val="0"/>
          <w:lang w:eastAsia="hu-HU" w:bidi="ar-SA"/>
        </w:rPr>
        <w:t xml:space="preserve"> Ft működési költségvetés kiadásai;</w:t>
      </w:r>
    </w:p>
    <w:p w14:paraId="31C911BE" w14:textId="43BF66BB"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a</w:t>
      </w:r>
      <w:r w:rsidR="00F57948">
        <w:rPr>
          <w:rFonts w:eastAsia="Times New Roman" w:cs="Times New Roman"/>
          <w:color w:val="000000"/>
          <w:kern w:val="0"/>
          <w:lang w:eastAsia="hu-HU" w:bidi="ar-SA"/>
        </w:rPr>
        <w:t>a</w:t>
      </w:r>
      <w:proofErr w:type="spellEnd"/>
      <w:r w:rsidR="00F57948">
        <w:rPr>
          <w:rFonts w:eastAsia="Times New Roman" w:cs="Times New Roman"/>
          <w:color w:val="000000"/>
          <w:kern w:val="0"/>
          <w:lang w:eastAsia="hu-HU" w:bidi="ar-SA"/>
        </w:rPr>
        <w:t>) 197.941.621</w:t>
      </w:r>
      <w:r w:rsidRPr="00796EC3">
        <w:rPr>
          <w:rFonts w:eastAsia="Times New Roman" w:cs="Times New Roman"/>
          <w:color w:val="000000"/>
          <w:kern w:val="0"/>
          <w:lang w:eastAsia="hu-HU" w:bidi="ar-SA"/>
        </w:rPr>
        <w:t xml:space="preserve"> Ft személyi juttatások kiadásai;</w:t>
      </w:r>
    </w:p>
    <w:p w14:paraId="09BA82DD" w14:textId="22230894" w:rsidR="00796EC3" w:rsidRPr="00CB5053" w:rsidRDefault="00F57948" w:rsidP="00796EC3">
      <w:pPr>
        <w:widowControl/>
        <w:suppressAutoHyphens w:val="0"/>
        <w:rPr>
          <w:rFonts w:eastAsia="Times New Roman" w:cs="Times New Roman"/>
          <w:color w:val="000000"/>
          <w:kern w:val="0"/>
          <w:lang w:eastAsia="hu-HU" w:bidi="ar-SA"/>
        </w:rPr>
      </w:pPr>
      <w:r>
        <w:rPr>
          <w:rFonts w:eastAsia="Times New Roman" w:cs="Times New Roman"/>
          <w:color w:val="000000"/>
          <w:kern w:val="0"/>
          <w:lang w:eastAsia="hu-HU" w:bidi="ar-SA"/>
        </w:rPr>
        <w:t>ab) 25.145.887</w:t>
      </w:r>
      <w:r w:rsidR="00796EC3" w:rsidRPr="00796EC3">
        <w:rPr>
          <w:rFonts w:eastAsia="Times New Roman" w:cs="Times New Roman"/>
          <w:color w:val="000000"/>
          <w:kern w:val="0"/>
          <w:lang w:eastAsia="hu-HU" w:bidi="ar-SA"/>
        </w:rPr>
        <w:t xml:space="preserve"> Ft munkaadókat terhelő járulékok és szociális hozzájárulási adó kiadásai;</w:t>
      </w:r>
    </w:p>
    <w:p w14:paraId="533B0DC8"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lastRenderedPageBreak/>
        <w:t>ac</w:t>
      </w:r>
      <w:proofErr w:type="spellEnd"/>
      <w:r w:rsidRPr="00796EC3">
        <w:rPr>
          <w:rFonts w:eastAsia="Times New Roman" w:cs="Times New Roman"/>
          <w:color w:val="000000"/>
          <w:kern w:val="0"/>
          <w:lang w:eastAsia="hu-HU" w:bidi="ar-SA"/>
        </w:rPr>
        <w:t>) 145.090.617 Ft dologi kiadások;</w:t>
      </w:r>
    </w:p>
    <w:p w14:paraId="1B8CA606"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ad) 7.384.000 Ft ellátottak pénzbeli juttatásai;</w:t>
      </w:r>
    </w:p>
    <w:p w14:paraId="7DC9EB06"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ae</w:t>
      </w:r>
      <w:proofErr w:type="spellEnd"/>
      <w:r w:rsidRPr="00796EC3">
        <w:rPr>
          <w:rFonts w:eastAsia="Times New Roman" w:cs="Times New Roman"/>
          <w:color w:val="000000"/>
          <w:kern w:val="0"/>
          <w:lang w:eastAsia="hu-HU" w:bidi="ar-SA"/>
        </w:rPr>
        <w:t>) 13.900.000 Ft egyéb működési célú kiadások;</w:t>
      </w:r>
    </w:p>
    <w:p w14:paraId="464A43E2"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b) 254.155.004 Ft felhalmozási költségvetés kiadásai;</w:t>
      </w:r>
    </w:p>
    <w:p w14:paraId="2A1B14F0"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ba</w:t>
      </w:r>
      <w:proofErr w:type="spellEnd"/>
      <w:r w:rsidRPr="00796EC3">
        <w:rPr>
          <w:rFonts w:eastAsia="Times New Roman" w:cs="Times New Roman"/>
          <w:color w:val="000000"/>
          <w:kern w:val="0"/>
          <w:lang w:eastAsia="hu-HU" w:bidi="ar-SA"/>
        </w:rPr>
        <w:t>) 83.508.000 Ft beruházások;</w:t>
      </w:r>
    </w:p>
    <w:p w14:paraId="6BFEFAE0"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bb</w:t>
      </w:r>
      <w:proofErr w:type="spellEnd"/>
      <w:r w:rsidRPr="00796EC3">
        <w:rPr>
          <w:rFonts w:eastAsia="Times New Roman" w:cs="Times New Roman"/>
          <w:color w:val="000000"/>
          <w:kern w:val="0"/>
          <w:lang w:eastAsia="hu-HU" w:bidi="ar-SA"/>
        </w:rPr>
        <w:t>) 170.647.004 Ft felújítások;</w:t>
      </w:r>
    </w:p>
    <w:p w14:paraId="2FEB4C5A"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bc</w:t>
      </w:r>
      <w:proofErr w:type="spellEnd"/>
      <w:r w:rsidRPr="00796EC3">
        <w:rPr>
          <w:rFonts w:eastAsia="Times New Roman" w:cs="Times New Roman"/>
          <w:color w:val="000000"/>
          <w:kern w:val="0"/>
          <w:lang w:eastAsia="hu-HU" w:bidi="ar-SA"/>
        </w:rPr>
        <w:t>) 0 Ft egyéb felhalmozási kiadások;</w:t>
      </w:r>
    </w:p>
    <w:p w14:paraId="70DCDE9A"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c) 0 Ft tartalék;</w:t>
      </w:r>
    </w:p>
    <w:p w14:paraId="6454A5D7" w14:textId="77777777" w:rsidR="00796EC3" w:rsidRPr="00CB5053" w:rsidRDefault="00796EC3" w:rsidP="00796EC3">
      <w:pPr>
        <w:widowControl/>
        <w:suppressAutoHyphens w:val="0"/>
        <w:rPr>
          <w:rFonts w:eastAsia="Times New Roman" w:cs="Times New Roman"/>
          <w:color w:val="000000"/>
          <w:kern w:val="0"/>
          <w:lang w:eastAsia="hu-HU" w:bidi="ar-SA"/>
        </w:rPr>
      </w:pPr>
      <w:r w:rsidRPr="00796EC3">
        <w:rPr>
          <w:rFonts w:eastAsia="Times New Roman" w:cs="Times New Roman"/>
          <w:color w:val="000000"/>
          <w:kern w:val="0"/>
          <w:lang w:eastAsia="hu-HU" w:bidi="ar-SA"/>
        </w:rPr>
        <w:t>d) 0 Ft finanszírozási kiadások;</w:t>
      </w:r>
    </w:p>
    <w:p w14:paraId="1E6B1887" w14:textId="77777777" w:rsidR="00796EC3" w:rsidRPr="00CB5053" w:rsidRDefault="00796EC3" w:rsidP="00796EC3">
      <w:pPr>
        <w:widowControl/>
        <w:suppressAutoHyphens w:val="0"/>
        <w:rPr>
          <w:rFonts w:eastAsia="Times New Roman" w:cs="Times New Roman"/>
          <w:color w:val="000000"/>
          <w:kern w:val="0"/>
          <w:lang w:eastAsia="hu-HU" w:bidi="ar-SA"/>
        </w:rPr>
      </w:pPr>
      <w:proofErr w:type="spellStart"/>
      <w:r w:rsidRPr="00796EC3">
        <w:rPr>
          <w:rFonts w:eastAsia="Times New Roman" w:cs="Times New Roman"/>
          <w:color w:val="000000"/>
          <w:kern w:val="0"/>
          <w:lang w:eastAsia="hu-HU" w:bidi="ar-SA"/>
        </w:rPr>
        <w:t>jogcímenkénti</w:t>
      </w:r>
      <w:proofErr w:type="spellEnd"/>
      <w:r w:rsidRPr="00796EC3">
        <w:rPr>
          <w:rFonts w:eastAsia="Times New Roman" w:cs="Times New Roman"/>
          <w:color w:val="000000"/>
          <w:kern w:val="0"/>
          <w:lang w:eastAsia="hu-HU" w:bidi="ar-SA"/>
        </w:rPr>
        <w:t xml:space="preserve"> megoszlásban állapítja meg.</w:t>
      </w:r>
    </w:p>
    <w:p w14:paraId="0D98AA58" w14:textId="77777777" w:rsidR="00796EC3" w:rsidRPr="00CB5053" w:rsidRDefault="00796EC3" w:rsidP="00796EC3">
      <w:pPr>
        <w:widowControl/>
        <w:suppressAutoHyphens w:val="0"/>
        <w:rPr>
          <w:rFonts w:eastAsia="Times New Roman" w:cs="Times New Roman"/>
          <w:color w:val="000000"/>
          <w:kern w:val="0"/>
          <w:lang w:eastAsia="hu-HU" w:bidi="ar-SA"/>
        </w:rPr>
      </w:pPr>
    </w:p>
    <w:p w14:paraId="6B03375A"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(3) Zebegény Község Önkormányzata Képviselő-testülete az államháztartásról szóló 2011. évi CXCV. törvényben foglaltak figyelembevételéve a költségvetési címrendjét az 1. melléklet szerint határozza meg.</w:t>
      </w:r>
    </w:p>
    <w:p w14:paraId="756F72F3" w14:textId="77777777" w:rsidR="00C6099A" w:rsidRPr="00CB5053" w:rsidRDefault="00C6099A" w:rsidP="00C6099A">
      <w:pPr>
        <w:rPr>
          <w:rFonts w:eastAsia="Times New Roman" w:cs="Times New Roman"/>
          <w:color w:val="000000"/>
          <w:lang w:eastAsia="hu-HU"/>
        </w:rPr>
      </w:pPr>
    </w:p>
    <w:p w14:paraId="4F99CCD6"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(4) Zebegény Község Önkormányzata Képviselő-testülete a költségvetési bevételek </w:t>
      </w:r>
      <w:proofErr w:type="spellStart"/>
      <w:r w:rsidRPr="00CB5053">
        <w:rPr>
          <w:rFonts w:eastAsia="Times New Roman" w:cs="Times New Roman"/>
          <w:color w:val="000000"/>
          <w:lang w:eastAsia="hu-HU"/>
        </w:rPr>
        <w:t>forrásonkénti</w:t>
      </w:r>
      <w:proofErr w:type="spellEnd"/>
      <w:r w:rsidRPr="00CB5053">
        <w:rPr>
          <w:rFonts w:eastAsia="Times New Roman" w:cs="Times New Roman"/>
          <w:color w:val="000000"/>
          <w:lang w:eastAsia="hu-HU"/>
        </w:rPr>
        <w:t xml:space="preserve">, a költségvetési kiadások </w:t>
      </w:r>
      <w:proofErr w:type="spellStart"/>
      <w:r w:rsidRPr="00CB5053">
        <w:rPr>
          <w:rFonts w:eastAsia="Times New Roman" w:cs="Times New Roman"/>
          <w:color w:val="000000"/>
          <w:lang w:eastAsia="hu-HU"/>
        </w:rPr>
        <w:t>jogcímenkénti</w:t>
      </w:r>
      <w:proofErr w:type="spellEnd"/>
      <w:r w:rsidRPr="00CB5053">
        <w:rPr>
          <w:rFonts w:eastAsia="Times New Roman" w:cs="Times New Roman"/>
          <w:color w:val="000000"/>
          <w:lang w:eastAsia="hu-HU"/>
        </w:rPr>
        <w:t xml:space="preserve"> megoszlását önkormányzati szinten, továbbá a finanszírozási bevételeket és kiadásokat, valamint a kötelező feladatok, önként vállalt feladatok és államigazgatási feladatok bontásban a 2. melléklet alapján határozza meg.</w:t>
      </w:r>
    </w:p>
    <w:p w14:paraId="5A54119F" w14:textId="77777777" w:rsidR="00C6099A" w:rsidRPr="00CB5053" w:rsidRDefault="00C6099A" w:rsidP="00C6099A">
      <w:pPr>
        <w:rPr>
          <w:rFonts w:eastAsia="Times New Roman" w:cs="Times New Roman"/>
          <w:color w:val="000000"/>
          <w:lang w:eastAsia="hu-HU"/>
        </w:rPr>
      </w:pPr>
    </w:p>
    <w:p w14:paraId="6634DF78"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(5) Zebegény Község Önkormányzata Képviselő-testülete a működési és felhalmozási bevételek és kiadások előirányzatai mérlegszerű bemutatását önkormányzati szinten a 3. melléklet és a 4. melléklet határozza meg.</w:t>
      </w:r>
    </w:p>
    <w:p w14:paraId="156DEF37" w14:textId="77777777" w:rsidR="00C6099A" w:rsidRPr="00CB5053" w:rsidRDefault="00C6099A" w:rsidP="00C6099A">
      <w:pPr>
        <w:jc w:val="both"/>
        <w:rPr>
          <w:rFonts w:eastAsia="Times New Roman" w:cs="Times New Roman"/>
          <w:color w:val="000000"/>
          <w:lang w:eastAsia="hu-HU"/>
        </w:rPr>
      </w:pPr>
    </w:p>
    <w:p w14:paraId="357EC4AF"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(6) A működési hiány belső finanszírozásának érdekében a képviselő-testület az előző év(</w:t>
      </w:r>
      <w:proofErr w:type="spellStart"/>
      <w:r w:rsidRPr="00CB5053">
        <w:rPr>
          <w:rFonts w:eastAsia="Times New Roman" w:cs="Times New Roman"/>
          <w:color w:val="000000"/>
          <w:lang w:eastAsia="hu-HU"/>
        </w:rPr>
        <w:t>ek</w:t>
      </w:r>
      <w:proofErr w:type="spellEnd"/>
      <w:r w:rsidRPr="00CB5053">
        <w:rPr>
          <w:rFonts w:eastAsia="Times New Roman" w:cs="Times New Roman"/>
          <w:color w:val="000000"/>
          <w:lang w:eastAsia="hu-HU"/>
        </w:rPr>
        <w:t>) költségvetési maradványának felhasználását rendeli el.</w:t>
      </w:r>
    </w:p>
    <w:p w14:paraId="5B4C2DC9" w14:textId="77777777" w:rsidR="00C6099A" w:rsidRPr="00CB5053" w:rsidRDefault="00C6099A" w:rsidP="00C6099A">
      <w:pPr>
        <w:jc w:val="both"/>
        <w:rPr>
          <w:rFonts w:eastAsia="Times New Roman" w:cs="Times New Roman"/>
          <w:color w:val="000000"/>
          <w:lang w:eastAsia="hu-HU"/>
        </w:rPr>
      </w:pPr>
    </w:p>
    <w:p w14:paraId="14856B69"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(7) A felhalmozási hiány finanszírozása érdekében a képviselő-testület az előző év(</w:t>
      </w:r>
      <w:proofErr w:type="spellStart"/>
      <w:r w:rsidRPr="00CB5053">
        <w:rPr>
          <w:rFonts w:eastAsia="Times New Roman" w:cs="Times New Roman"/>
          <w:color w:val="000000"/>
          <w:lang w:eastAsia="hu-HU"/>
        </w:rPr>
        <w:t>ek</w:t>
      </w:r>
      <w:proofErr w:type="spellEnd"/>
      <w:r w:rsidRPr="00CB5053">
        <w:rPr>
          <w:rFonts w:eastAsia="Times New Roman" w:cs="Times New Roman"/>
          <w:color w:val="000000"/>
          <w:lang w:eastAsia="hu-HU"/>
        </w:rPr>
        <w:t>) költségvetési maradvány felhasználását, valamint a saját bevételek működési kiadások finanszírozásán felüli rész felhasználását rendeli el. A felhalmozási hiány fejlesztési hitelből történő külső finanszírozásához a Kormány engedélye szükséges.</w:t>
      </w:r>
    </w:p>
    <w:p w14:paraId="5D766A7E" w14:textId="77777777" w:rsidR="00C6099A" w:rsidRPr="00CB5053" w:rsidRDefault="00C6099A" w:rsidP="00C6099A">
      <w:pPr>
        <w:rPr>
          <w:rFonts w:eastAsia="Times New Roman" w:cs="Times New Roman"/>
          <w:color w:val="000000"/>
          <w:lang w:eastAsia="hu-HU"/>
        </w:rPr>
      </w:pPr>
    </w:p>
    <w:p w14:paraId="22E04B54" w14:textId="77777777" w:rsidR="00C6099A" w:rsidRPr="00CB5053" w:rsidRDefault="00C6099A" w:rsidP="00C6099A">
      <w:pPr>
        <w:rPr>
          <w:rFonts w:eastAsia="Times New Roman" w:cs="Times New Roman"/>
          <w:color w:val="000000"/>
          <w:lang w:eastAsia="hu-HU"/>
        </w:rPr>
      </w:pPr>
    </w:p>
    <w:p w14:paraId="11B68A0B"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3. A költségvetés részletezése</w:t>
      </w:r>
    </w:p>
    <w:p w14:paraId="22DA8823"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3. §</w:t>
      </w:r>
    </w:p>
    <w:p w14:paraId="34A56CC6" w14:textId="77777777" w:rsidR="00C6099A" w:rsidRPr="00CB5053" w:rsidRDefault="00C6099A" w:rsidP="00C6099A">
      <w:pPr>
        <w:jc w:val="center"/>
        <w:rPr>
          <w:rFonts w:eastAsia="Times New Roman" w:cs="Times New Roman"/>
          <w:b/>
          <w:bCs/>
          <w:color w:val="000000"/>
          <w:lang w:eastAsia="hu-HU"/>
        </w:rPr>
      </w:pPr>
    </w:p>
    <w:p w14:paraId="494ABB66"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 Zebegény Község Önkormányzata Képviselő-testülete az adósságot keletkeztető ügyletekből és kezességvállalásokból fennálló kötelezettségeit az 5. melléklet szerint határozza meg.</w:t>
      </w:r>
    </w:p>
    <w:p w14:paraId="53041F3B" w14:textId="77777777" w:rsidR="00C6099A" w:rsidRPr="00CB5053" w:rsidRDefault="00C6099A" w:rsidP="00C6099A">
      <w:pPr>
        <w:jc w:val="both"/>
        <w:rPr>
          <w:rFonts w:eastAsia="Times New Roman" w:cs="Times New Roman"/>
          <w:color w:val="000000"/>
          <w:lang w:eastAsia="hu-HU"/>
        </w:rPr>
      </w:pPr>
    </w:p>
    <w:p w14:paraId="602EF8D7"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(2) Az államháztartásról szóló 2011. évi CXCV. törvény 29/A. §-</w:t>
      </w:r>
      <w:proofErr w:type="spellStart"/>
      <w:r w:rsidRPr="00CB5053">
        <w:rPr>
          <w:rFonts w:eastAsia="Times New Roman" w:cs="Times New Roman"/>
          <w:color w:val="000000"/>
          <w:lang w:eastAsia="hu-HU"/>
        </w:rPr>
        <w:t>ában</w:t>
      </w:r>
      <w:proofErr w:type="spellEnd"/>
      <w:r w:rsidRPr="00CB5053">
        <w:rPr>
          <w:rFonts w:eastAsia="Times New Roman" w:cs="Times New Roman"/>
          <w:color w:val="000000"/>
          <w:lang w:eastAsia="hu-HU"/>
        </w:rPr>
        <w:t xml:space="preserve"> szabályozott középtávú tervezés részeként az önkormányzat és intézményei 2025. évi költségvetésének tervezéséhez Magyarország gazdasági stabilitásáról szóló 2011. évi CXCIV. törvény, valamint az adósságot keletkeztető ügyletekhez történő hozzájárulás részletes szabályairól szóló 353/2011. (XII.30.) Korm. rendelet szabályozására figyelemmel a saját bevételeit, valamint az adósságot </w:t>
      </w:r>
    </w:p>
    <w:p w14:paraId="050D4B37"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keletkeztető ügyleteiből eredő fizetési kötelezettségeinek a költségvetési évet követő három évre várható összegéről a költségvetési pénzügyi kitekintő adatokat a rendelet 6. melléklet szerinti tartalommal határozza meg.</w:t>
      </w:r>
    </w:p>
    <w:p w14:paraId="6A0B412A" w14:textId="77777777" w:rsidR="00C6099A" w:rsidRPr="00CB5053" w:rsidRDefault="00C6099A" w:rsidP="00C6099A">
      <w:pPr>
        <w:jc w:val="both"/>
        <w:rPr>
          <w:rFonts w:eastAsia="Times New Roman" w:cs="Times New Roman"/>
          <w:color w:val="000000"/>
          <w:lang w:eastAsia="hu-HU"/>
        </w:rPr>
      </w:pPr>
    </w:p>
    <w:p w14:paraId="4CCFCD56"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(3) Zebegény Község Önkormányzata Képviselő-testülete 2025. évi adósságot keletkeztető </w:t>
      </w:r>
      <w:r w:rsidRPr="00CB5053">
        <w:rPr>
          <w:rFonts w:eastAsia="Times New Roman" w:cs="Times New Roman"/>
          <w:color w:val="000000"/>
          <w:lang w:eastAsia="hu-HU"/>
        </w:rPr>
        <w:lastRenderedPageBreak/>
        <w:t>fejlesztési céljait a 7. melléklet szerint határozza meg.</w:t>
      </w:r>
    </w:p>
    <w:p w14:paraId="5B05375B" w14:textId="77777777" w:rsidR="00C6099A" w:rsidRPr="00CB5053" w:rsidRDefault="00C6099A" w:rsidP="00C6099A">
      <w:pPr>
        <w:jc w:val="both"/>
        <w:rPr>
          <w:rFonts w:eastAsia="Times New Roman" w:cs="Times New Roman"/>
          <w:color w:val="000000"/>
          <w:lang w:eastAsia="hu-HU"/>
        </w:rPr>
      </w:pPr>
    </w:p>
    <w:p w14:paraId="72297319"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(4) Zebegény Község Önkormányzata Képviselő-testülete a beruházások kiadásainak </w:t>
      </w:r>
      <w:proofErr w:type="spellStart"/>
      <w:r w:rsidRPr="00CB5053">
        <w:rPr>
          <w:rFonts w:eastAsia="Times New Roman" w:cs="Times New Roman"/>
          <w:color w:val="000000"/>
          <w:lang w:eastAsia="hu-HU"/>
        </w:rPr>
        <w:t>beruházásonkénti</w:t>
      </w:r>
      <w:proofErr w:type="spellEnd"/>
      <w:r w:rsidRPr="00CB5053">
        <w:rPr>
          <w:rFonts w:eastAsia="Times New Roman" w:cs="Times New Roman"/>
          <w:color w:val="000000"/>
          <w:lang w:eastAsia="hu-HU"/>
        </w:rPr>
        <w:t xml:space="preserve"> részletezését a 8. melléklet szerint határozza meg.</w:t>
      </w:r>
    </w:p>
    <w:p w14:paraId="3B318C81" w14:textId="77777777" w:rsidR="00C6099A" w:rsidRPr="00CB5053" w:rsidRDefault="00C6099A" w:rsidP="00C6099A">
      <w:pPr>
        <w:jc w:val="both"/>
        <w:rPr>
          <w:rFonts w:eastAsia="Times New Roman" w:cs="Times New Roman"/>
          <w:color w:val="000000"/>
          <w:lang w:eastAsia="hu-HU"/>
        </w:rPr>
      </w:pPr>
    </w:p>
    <w:p w14:paraId="76E8059B"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(5) Zebegény Község Önkormányzata Képviselő-testülete a felújítások kiadásait felújításonként a 9. melléklet szerint határozza meg.</w:t>
      </w:r>
    </w:p>
    <w:p w14:paraId="3E2BF5DB" w14:textId="77777777" w:rsidR="00C6099A" w:rsidRPr="00CB5053" w:rsidRDefault="00C6099A" w:rsidP="00C6099A">
      <w:pPr>
        <w:rPr>
          <w:rFonts w:eastAsia="Times New Roman" w:cs="Times New Roman"/>
          <w:color w:val="000000"/>
          <w:lang w:eastAsia="hu-HU"/>
        </w:rPr>
      </w:pPr>
    </w:p>
    <w:p w14:paraId="3783B7CA"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(6) Zebegény Község Önkormányzata Képviselő-testülete az EU-s támogatással megvalósuló programokat és projekteket, valamint az önkormányzaton kívül megvalósuló projektekhez való hozzájárulást a 10. melléklet szerint hagyja jóvá.</w:t>
      </w:r>
    </w:p>
    <w:p w14:paraId="532E8311" w14:textId="77777777" w:rsidR="00C6099A" w:rsidRPr="00CB5053" w:rsidRDefault="00C6099A" w:rsidP="00C6099A">
      <w:pPr>
        <w:jc w:val="both"/>
        <w:rPr>
          <w:rFonts w:eastAsia="Times New Roman" w:cs="Times New Roman"/>
          <w:color w:val="000000"/>
          <w:lang w:eastAsia="hu-HU"/>
        </w:rPr>
      </w:pPr>
    </w:p>
    <w:p w14:paraId="3A671657"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(7) Zebegény Község Önkormányzata Képviselő-testülete az Önkormányzat bevételeit és kiadásait, kötelező feladatok, önként vállalt feladatok és államigazgatási feladatok bontásban 12. melléklet szerint határozza meg.</w:t>
      </w:r>
    </w:p>
    <w:p w14:paraId="1FD0E86A" w14:textId="77777777" w:rsidR="00C6099A" w:rsidRPr="00CB5053" w:rsidRDefault="00C6099A" w:rsidP="00C6099A">
      <w:pPr>
        <w:jc w:val="both"/>
        <w:rPr>
          <w:rFonts w:eastAsia="Times New Roman" w:cs="Times New Roman"/>
          <w:color w:val="000000"/>
          <w:lang w:eastAsia="hu-HU"/>
        </w:rPr>
      </w:pPr>
    </w:p>
    <w:p w14:paraId="2C70F80F"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(8) Zebegény Község Önkormányzata Képviselő-testülete az Önkormányzat irányítása alá tartozó költségvetési szerveinek bevételeit és kiadásait, kötelező feladatok, önként vállalt feladatok és államigazgatási feladatok bontásban a 13. melléklet szerint határozza meg.</w:t>
      </w:r>
    </w:p>
    <w:p w14:paraId="04E93138" w14:textId="77777777" w:rsidR="00C6099A" w:rsidRPr="00CB5053" w:rsidRDefault="00C6099A" w:rsidP="00C6099A">
      <w:pPr>
        <w:jc w:val="both"/>
        <w:rPr>
          <w:rFonts w:eastAsia="Times New Roman" w:cs="Times New Roman"/>
          <w:color w:val="000000"/>
          <w:lang w:eastAsia="hu-HU"/>
        </w:rPr>
      </w:pPr>
    </w:p>
    <w:p w14:paraId="0111D5B0"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(9) Zebegény Község Önkormányzata Képviselő-testülete a kiadások között 0 Ft tartalékot állapít meg. A tartalékot a Képviselő-testület engedélyével lehet felhasználni, átcsoportosítani.</w:t>
      </w:r>
    </w:p>
    <w:p w14:paraId="243F7816" w14:textId="77777777" w:rsidR="00C6099A" w:rsidRPr="00CB5053" w:rsidRDefault="00C6099A" w:rsidP="00C6099A">
      <w:pPr>
        <w:jc w:val="both"/>
        <w:rPr>
          <w:rFonts w:eastAsia="Times New Roman" w:cs="Times New Roman"/>
          <w:color w:val="000000"/>
          <w:lang w:eastAsia="hu-HU"/>
        </w:rPr>
      </w:pPr>
    </w:p>
    <w:p w14:paraId="31EEB1D8"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(10) Zebegény Község Önkormányzata Képviselő-testülete az Önkormányzat és az irányítása alá tartozó költségvetési szervek tárgyévi és az előző három év mérlegét a 14. melléklet szerint határozza meg.</w:t>
      </w:r>
    </w:p>
    <w:p w14:paraId="2D29863F" w14:textId="77777777" w:rsidR="00C6099A" w:rsidRPr="00CB5053" w:rsidRDefault="00C6099A" w:rsidP="00C6099A">
      <w:pPr>
        <w:jc w:val="both"/>
        <w:rPr>
          <w:rFonts w:eastAsia="Times New Roman" w:cs="Times New Roman"/>
          <w:color w:val="000000"/>
          <w:lang w:eastAsia="hu-HU"/>
        </w:rPr>
      </w:pPr>
    </w:p>
    <w:p w14:paraId="2D0FE7C2"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(11) Zebegény Község Önkormányzata Képviselő-testülete az Önkormányzat többéves kihatással járó döntéseit számszerűsítése évenkénti bontásban és összesítve célok szerint a 15. melléklet szerint határozza meg.</w:t>
      </w:r>
    </w:p>
    <w:p w14:paraId="563AB689" w14:textId="77777777" w:rsidR="00C6099A" w:rsidRPr="00CB5053" w:rsidRDefault="00C6099A" w:rsidP="00C6099A">
      <w:pPr>
        <w:jc w:val="both"/>
        <w:rPr>
          <w:rFonts w:eastAsia="Times New Roman" w:cs="Times New Roman"/>
          <w:color w:val="000000"/>
          <w:lang w:eastAsia="hu-HU"/>
        </w:rPr>
      </w:pPr>
    </w:p>
    <w:p w14:paraId="257978AE"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(12) Zebegény Község Önkormányzata Képviselő-testülete az Önkormányzat által adott közvetett támogatások tervezését a 16. melléklet szerint határozza meg.</w:t>
      </w:r>
    </w:p>
    <w:p w14:paraId="40177158" w14:textId="77777777" w:rsidR="00C6099A" w:rsidRPr="00CB5053" w:rsidRDefault="00C6099A" w:rsidP="00C6099A">
      <w:pPr>
        <w:jc w:val="both"/>
        <w:rPr>
          <w:rFonts w:eastAsia="Times New Roman" w:cs="Times New Roman"/>
          <w:color w:val="000000"/>
          <w:lang w:eastAsia="hu-HU"/>
        </w:rPr>
      </w:pPr>
    </w:p>
    <w:p w14:paraId="5E641768"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(13) Zebegény Község Önkormányzata Képviselő-testülete az Önkormányzat előirányzat felhasználási tervét a 17. melléklet szerint határozza meg.</w:t>
      </w:r>
    </w:p>
    <w:p w14:paraId="40E2D3D6" w14:textId="77777777" w:rsidR="00C6099A" w:rsidRPr="00CB5053" w:rsidRDefault="00C6099A" w:rsidP="00C6099A">
      <w:pPr>
        <w:jc w:val="both"/>
        <w:rPr>
          <w:rFonts w:eastAsia="Times New Roman" w:cs="Times New Roman"/>
          <w:color w:val="000000"/>
          <w:lang w:eastAsia="hu-HU"/>
        </w:rPr>
      </w:pPr>
    </w:p>
    <w:p w14:paraId="58E59786"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(14) Zebegény Község Önkormányzata Képviselő-testülete az Önkormányzat bevételi kormányzati funkciók szerinti jogcímeit a 18. melléklet szerint határozza meg.</w:t>
      </w:r>
    </w:p>
    <w:p w14:paraId="7AF2E743" w14:textId="77777777" w:rsidR="00C6099A" w:rsidRPr="00CB5053" w:rsidRDefault="00C6099A" w:rsidP="00C6099A">
      <w:pPr>
        <w:jc w:val="both"/>
        <w:rPr>
          <w:rFonts w:eastAsia="Times New Roman" w:cs="Times New Roman"/>
          <w:color w:val="000000"/>
          <w:lang w:eastAsia="hu-HU"/>
        </w:rPr>
      </w:pPr>
    </w:p>
    <w:p w14:paraId="539EF1A5"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(15) Zebegény Község Önkormányzata Képviselő-testülete az Önkormányzat kiadási kormányzati funkciók szerinti jogcímeit a 19. melléklet szerint határozza meg.</w:t>
      </w:r>
    </w:p>
    <w:p w14:paraId="13A92DF9" w14:textId="77777777" w:rsidR="00C6099A" w:rsidRPr="00CB5053" w:rsidRDefault="00C6099A" w:rsidP="00C6099A">
      <w:pPr>
        <w:jc w:val="both"/>
        <w:rPr>
          <w:rFonts w:eastAsia="Times New Roman" w:cs="Times New Roman"/>
          <w:color w:val="000000"/>
          <w:lang w:eastAsia="hu-HU"/>
        </w:rPr>
      </w:pPr>
    </w:p>
    <w:p w14:paraId="5C555391"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(16) Zebegény Község Önkormányzata Képviselő-testülete az Önkormányzat céljelleggel tervezett támogatásait a 20. melléklet szerint határozza meg.</w:t>
      </w:r>
    </w:p>
    <w:p w14:paraId="5073BEA9" w14:textId="77777777" w:rsidR="00C6099A" w:rsidRPr="00CB5053" w:rsidRDefault="00C6099A" w:rsidP="00C6099A">
      <w:pPr>
        <w:jc w:val="both"/>
        <w:rPr>
          <w:rFonts w:eastAsia="Times New Roman" w:cs="Times New Roman"/>
          <w:color w:val="000000"/>
          <w:lang w:eastAsia="hu-HU"/>
        </w:rPr>
      </w:pPr>
    </w:p>
    <w:p w14:paraId="03664333"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(17) Zebegény Község Önkormányzata Képviselő-testülete az Önkormányzat a költségvetési évet követő három év tervezett bevételeit és kiadásait a 21. melléklet szerint határozza meg.</w:t>
      </w:r>
    </w:p>
    <w:p w14:paraId="052C9AED" w14:textId="77777777" w:rsidR="00C6099A" w:rsidRPr="00CB5053" w:rsidRDefault="00C6099A" w:rsidP="00C6099A">
      <w:pPr>
        <w:jc w:val="both"/>
        <w:rPr>
          <w:rFonts w:eastAsia="Times New Roman" w:cs="Times New Roman"/>
          <w:color w:val="000000"/>
          <w:lang w:eastAsia="hu-HU"/>
        </w:rPr>
      </w:pPr>
    </w:p>
    <w:p w14:paraId="1B402DB2"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(18) Zebegény Község Önkormányzata Képviselő-testülete az Önkormányzat és az irányítása </w:t>
      </w:r>
      <w:r w:rsidRPr="00CB5053">
        <w:rPr>
          <w:rFonts w:eastAsia="Times New Roman" w:cs="Times New Roman"/>
          <w:color w:val="000000"/>
          <w:lang w:eastAsia="hu-HU"/>
        </w:rPr>
        <w:lastRenderedPageBreak/>
        <w:t>alá tartozó költségvetési szervek engedélyezett létszámait a 22. melléklet szerint határozza meg.</w:t>
      </w:r>
    </w:p>
    <w:p w14:paraId="0825D6F7" w14:textId="77777777" w:rsidR="00C6099A" w:rsidRPr="00CB5053" w:rsidRDefault="00C6099A" w:rsidP="00C6099A">
      <w:pPr>
        <w:rPr>
          <w:rFonts w:eastAsia="Times New Roman" w:cs="Times New Roman"/>
          <w:color w:val="000000"/>
          <w:lang w:eastAsia="hu-HU"/>
        </w:rPr>
      </w:pPr>
    </w:p>
    <w:p w14:paraId="2EB47848"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4. A költségvetés végrehajtásának szabályai</w:t>
      </w:r>
    </w:p>
    <w:p w14:paraId="5C771E9F"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4. §</w:t>
      </w:r>
    </w:p>
    <w:p w14:paraId="60DEAA01" w14:textId="77777777" w:rsidR="00C6099A" w:rsidRPr="00CB5053" w:rsidRDefault="00C6099A" w:rsidP="00C6099A">
      <w:pPr>
        <w:jc w:val="center"/>
        <w:rPr>
          <w:rFonts w:eastAsia="Times New Roman" w:cs="Times New Roman"/>
          <w:b/>
          <w:bCs/>
          <w:color w:val="000000"/>
          <w:lang w:eastAsia="hu-HU"/>
        </w:rPr>
      </w:pPr>
    </w:p>
    <w:p w14:paraId="592CC5F3" w14:textId="77777777" w:rsidR="00C6099A" w:rsidRPr="00CB5053" w:rsidRDefault="00C6099A" w:rsidP="00C6099A">
      <w:pPr>
        <w:rPr>
          <w:rFonts w:eastAsia="Times New Roman" w:cs="Times New Roman"/>
          <w:color w:val="000000"/>
          <w:lang w:eastAsia="hu-HU"/>
        </w:rPr>
      </w:pPr>
      <w:r w:rsidRPr="00CB5053">
        <w:rPr>
          <w:rFonts w:eastAsia="Times New Roman" w:cs="Times New Roman"/>
          <w:color w:val="000000"/>
          <w:lang w:eastAsia="hu-HU"/>
        </w:rPr>
        <w:t>(1) Az önkormányzati szintű költségvetés végrehajtásáért a polgármester, a könyvvezetéssel kapcsolatos feladatok ellátásáért a jegyző a felelős.</w:t>
      </w:r>
    </w:p>
    <w:p w14:paraId="25B2D019" w14:textId="77777777" w:rsidR="00C6099A" w:rsidRPr="00CB5053" w:rsidRDefault="00C6099A" w:rsidP="00C6099A">
      <w:pPr>
        <w:rPr>
          <w:rFonts w:eastAsia="Times New Roman" w:cs="Times New Roman"/>
          <w:color w:val="000000"/>
          <w:lang w:eastAsia="hu-HU"/>
        </w:rPr>
      </w:pPr>
    </w:p>
    <w:p w14:paraId="57E61A3C"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(2) Az Önkormányzat gazdálkodásának biztonságáért a képviselő-testület, a gazdálkodás szabályszerűségéért a polgármester felelős.</w:t>
      </w:r>
    </w:p>
    <w:p w14:paraId="318950C1" w14:textId="77777777" w:rsidR="00C6099A" w:rsidRPr="00CB5053" w:rsidRDefault="00C6099A" w:rsidP="00C6099A">
      <w:pPr>
        <w:jc w:val="both"/>
        <w:rPr>
          <w:rFonts w:eastAsia="Times New Roman" w:cs="Times New Roman"/>
          <w:color w:val="000000"/>
          <w:lang w:eastAsia="hu-HU"/>
        </w:rPr>
      </w:pPr>
    </w:p>
    <w:p w14:paraId="7BEBD799"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(3) A költségvetési hiány csökkentése érdekében évközben folyamatosan figyelemmel kell kísérni a kiadások csökkentésének és a bevételek növelésének lehetőségeit.</w:t>
      </w:r>
    </w:p>
    <w:p w14:paraId="21BB0078" w14:textId="77777777" w:rsidR="00C6099A" w:rsidRPr="00CB5053" w:rsidRDefault="00C6099A" w:rsidP="00C6099A">
      <w:pPr>
        <w:jc w:val="both"/>
        <w:rPr>
          <w:rFonts w:eastAsia="Times New Roman" w:cs="Times New Roman"/>
          <w:color w:val="000000"/>
          <w:lang w:eastAsia="hu-HU"/>
        </w:rPr>
      </w:pPr>
    </w:p>
    <w:p w14:paraId="1E0DC70D"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(4) A költségvetési szerveknél a jutalmazásra fordítható és kifizethető összeg nem haladhatja meg a rendszeres személyi juttatások előirányzatának 10%-át. Ennek fedezetére a személyi juttatások évközi megtakarítása és a személyi juttatások előirányzatának növelésére fordítható forrás szolgálhat.</w:t>
      </w:r>
    </w:p>
    <w:p w14:paraId="1199EDD4" w14:textId="77777777" w:rsidR="00C6099A" w:rsidRPr="00CB5053" w:rsidRDefault="00C6099A" w:rsidP="00C6099A">
      <w:pPr>
        <w:jc w:val="both"/>
        <w:rPr>
          <w:rFonts w:eastAsia="Times New Roman" w:cs="Times New Roman"/>
          <w:color w:val="000000"/>
          <w:lang w:eastAsia="hu-HU"/>
        </w:rPr>
      </w:pPr>
    </w:p>
    <w:p w14:paraId="5945A905"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(5) Amennyiben a költségvetési szerv harminc napon túli, lejárt esedékességű elismert tartozásállományának mértéke két egymást követő hónapban eléri az éves eredeti kiadási előirányzatának 10%-át vagy a százötven millió forintot, az irányító szerv a költségvetési szervhez önkormányzati biztost jelöl ki.</w:t>
      </w:r>
    </w:p>
    <w:p w14:paraId="6071F7D6" w14:textId="77777777" w:rsidR="00C6099A" w:rsidRPr="00CB5053" w:rsidRDefault="00C6099A" w:rsidP="00C6099A">
      <w:pPr>
        <w:jc w:val="both"/>
        <w:rPr>
          <w:rFonts w:eastAsia="Times New Roman" w:cs="Times New Roman"/>
          <w:color w:val="000000"/>
          <w:lang w:eastAsia="hu-HU"/>
        </w:rPr>
      </w:pPr>
    </w:p>
    <w:p w14:paraId="0F3DB07A"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(6) A költségvetési szerv vezetője e rendelet 11. melléklet szerinti adatlapon köteles a tartozásállományról adatot szolgáltatni. A költségvetési szerv az általa lejárt esedékességű elismert tartozásállomány tekintetében – nemleges adat esetén is – havonta a tárgyhó 25-i állapotnak megfelelően a tárgyhónapot követő hó 5-ig az önkormányzat jegyzője részére köteles adatszolgáltatást teljesíteni.</w:t>
      </w:r>
    </w:p>
    <w:p w14:paraId="4CA7E2BB" w14:textId="77777777" w:rsidR="00C6099A" w:rsidRPr="00CB5053" w:rsidRDefault="00C6099A" w:rsidP="00C6099A">
      <w:pPr>
        <w:jc w:val="both"/>
        <w:rPr>
          <w:rFonts w:eastAsia="Times New Roman" w:cs="Times New Roman"/>
          <w:color w:val="000000"/>
          <w:lang w:eastAsia="hu-HU"/>
        </w:rPr>
      </w:pPr>
    </w:p>
    <w:p w14:paraId="5FB1F26E"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(7) Kiegészítő támogatás igényléséről a működőképességet veszélyeztető helyzet esetében a polgármester gondoskodik, külön képviselő-testületi döntés alapján.</w:t>
      </w:r>
    </w:p>
    <w:p w14:paraId="48AE3F46" w14:textId="77777777" w:rsidR="00C6099A" w:rsidRPr="00CB5053" w:rsidRDefault="00C6099A" w:rsidP="00C6099A">
      <w:pPr>
        <w:jc w:val="both"/>
        <w:rPr>
          <w:rFonts w:eastAsia="Times New Roman" w:cs="Times New Roman"/>
          <w:color w:val="000000"/>
          <w:lang w:eastAsia="hu-HU"/>
        </w:rPr>
      </w:pPr>
    </w:p>
    <w:p w14:paraId="5FBE4E0C"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(8) A finanszírozási bevételekkel és kiadásokkal kapcsolatos hatásköröket a Képviselő-testület gyakorolja.</w:t>
      </w:r>
    </w:p>
    <w:p w14:paraId="22C51899" w14:textId="77777777" w:rsidR="00C6099A" w:rsidRPr="00CB5053" w:rsidRDefault="00C6099A" w:rsidP="00C6099A">
      <w:pPr>
        <w:rPr>
          <w:rFonts w:eastAsia="Times New Roman" w:cs="Times New Roman"/>
          <w:color w:val="000000"/>
          <w:lang w:eastAsia="hu-HU"/>
        </w:rPr>
      </w:pPr>
    </w:p>
    <w:p w14:paraId="7E4D712E"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5. Az előirányzatok módosítása</w:t>
      </w:r>
    </w:p>
    <w:p w14:paraId="7BFBFC7A"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5. §</w:t>
      </w:r>
    </w:p>
    <w:p w14:paraId="0D11BD73" w14:textId="77777777" w:rsidR="00C6099A" w:rsidRPr="00CB5053" w:rsidRDefault="00C6099A" w:rsidP="00C6099A">
      <w:pPr>
        <w:jc w:val="center"/>
        <w:rPr>
          <w:rFonts w:eastAsia="Times New Roman" w:cs="Times New Roman"/>
          <w:b/>
          <w:bCs/>
          <w:color w:val="000000"/>
          <w:lang w:eastAsia="hu-HU"/>
        </w:rPr>
      </w:pPr>
    </w:p>
    <w:p w14:paraId="7C9D9241"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 Az Önkormányzat bevételeinek és kiadásainak módosításáról, a kiadási előirányzatok közötti átcsoportosításról a (2) bekezdésben foglalt kivétellel a Képviselő-testület dönt.</w:t>
      </w:r>
    </w:p>
    <w:p w14:paraId="4400D1A2" w14:textId="77777777" w:rsidR="00C6099A" w:rsidRPr="00CB5053" w:rsidRDefault="00C6099A" w:rsidP="00C6099A">
      <w:pPr>
        <w:jc w:val="both"/>
        <w:rPr>
          <w:rFonts w:eastAsia="Times New Roman" w:cs="Times New Roman"/>
          <w:color w:val="000000"/>
          <w:lang w:eastAsia="hu-HU"/>
        </w:rPr>
      </w:pPr>
    </w:p>
    <w:p w14:paraId="6E76FDCE"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(2)  A Képviselő-testület az Önkormányzat bevételeinek és kiadásainak módosítását és a kiadási kiemelt előirányzatok közötti átcsoportosítás jogát nettó 5 millió Ft összeghatárig a polgármesterre átruházza. A polgármester az előirányzatok mértékéig, a szabad keret terhére vállalhat kötelezettséget. </w:t>
      </w:r>
    </w:p>
    <w:p w14:paraId="65F3AC63" w14:textId="77777777" w:rsidR="00C6099A" w:rsidRPr="00CB5053" w:rsidRDefault="00C6099A" w:rsidP="00C6099A">
      <w:pPr>
        <w:jc w:val="both"/>
        <w:rPr>
          <w:rFonts w:eastAsia="Times New Roman" w:cs="Times New Roman"/>
          <w:color w:val="000000"/>
          <w:lang w:eastAsia="hu-HU"/>
        </w:rPr>
      </w:pPr>
    </w:p>
    <w:p w14:paraId="5029492D"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(3) Esetenként nettó 5 millió Ft feletti kötelezettség vállaláshoz a Képviselő-testület engedélye szükséges.</w:t>
      </w:r>
    </w:p>
    <w:p w14:paraId="5AE91CD0" w14:textId="77777777" w:rsidR="00C6099A" w:rsidRPr="00CB5053" w:rsidRDefault="00C6099A" w:rsidP="00C6099A">
      <w:pPr>
        <w:jc w:val="both"/>
        <w:rPr>
          <w:rFonts w:eastAsia="Times New Roman" w:cs="Times New Roman"/>
          <w:color w:val="000000"/>
          <w:lang w:eastAsia="hu-HU"/>
        </w:rPr>
      </w:pPr>
    </w:p>
    <w:p w14:paraId="3C032CC2"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(4) Az átcsoportosításról, kötelezettség vállalásokról a polgármester negyedévente köteles beszámolni, a költségvetés módosítására egyidejűleg javaslatot tenni. Az átruházott hatáskörű előirányzat-módosítási jogkör 2025. december 31-ig gyakorolható.</w:t>
      </w:r>
    </w:p>
    <w:p w14:paraId="60D8D61B" w14:textId="77777777" w:rsidR="00C6099A" w:rsidRPr="00CB5053" w:rsidRDefault="00C6099A" w:rsidP="00C6099A">
      <w:pPr>
        <w:jc w:val="both"/>
        <w:rPr>
          <w:rFonts w:eastAsia="Times New Roman" w:cs="Times New Roman"/>
          <w:color w:val="000000"/>
          <w:lang w:eastAsia="hu-HU"/>
        </w:rPr>
      </w:pPr>
    </w:p>
    <w:p w14:paraId="799ABC85"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(5) A költségvetési szerv a költségvetése kiemelt előirányzatain belüli rovatok között átcsoportosítást hajthat végre.</w:t>
      </w:r>
    </w:p>
    <w:p w14:paraId="403F3E0A" w14:textId="77777777" w:rsidR="00C6099A" w:rsidRPr="00CB5053" w:rsidRDefault="00C6099A" w:rsidP="00C6099A">
      <w:pPr>
        <w:jc w:val="both"/>
        <w:rPr>
          <w:rFonts w:eastAsia="Times New Roman" w:cs="Times New Roman"/>
          <w:color w:val="000000"/>
          <w:lang w:eastAsia="hu-HU"/>
        </w:rPr>
      </w:pPr>
    </w:p>
    <w:p w14:paraId="553BEC0F"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(6) A képviselő-testület a költségvetési rendelet (2) bekezdés szerinti előirányzat-módosítás, előirányzat-átcsoportosítás átvezetéseként - az első negyedév kivételével - negyedévenként, de legkésőbb az éves költségvetési beszámoló elkészítésének </w:t>
      </w:r>
      <w:proofErr w:type="spellStart"/>
      <w:r w:rsidRPr="00CB5053">
        <w:rPr>
          <w:rFonts w:eastAsia="Times New Roman" w:cs="Times New Roman"/>
          <w:color w:val="000000"/>
          <w:lang w:eastAsia="hu-HU"/>
        </w:rPr>
        <w:t>határidejéig</w:t>
      </w:r>
      <w:proofErr w:type="spellEnd"/>
      <w:r w:rsidRPr="00CB5053">
        <w:rPr>
          <w:rFonts w:eastAsia="Times New Roman" w:cs="Times New Roman"/>
          <w:color w:val="000000"/>
          <w:lang w:eastAsia="hu-HU"/>
        </w:rPr>
        <w:t>,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14:paraId="76DBE0E6" w14:textId="77777777" w:rsidR="00C6099A" w:rsidRPr="00CB5053" w:rsidRDefault="00C6099A" w:rsidP="00C6099A">
      <w:pPr>
        <w:jc w:val="both"/>
        <w:rPr>
          <w:rFonts w:eastAsia="Times New Roman" w:cs="Times New Roman"/>
          <w:color w:val="000000"/>
          <w:lang w:eastAsia="hu-HU"/>
        </w:rPr>
      </w:pPr>
    </w:p>
    <w:p w14:paraId="6C4FD582"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(7) A költségvetési szerv alaptevékenysége körében szellemi tevékenység szerződéssel, számla ellenében történő igénybevételére szolgáló kiadási előirányzat csak a személyi juttatások terhére növelhető.</w:t>
      </w:r>
    </w:p>
    <w:p w14:paraId="4DBEC31A" w14:textId="77777777" w:rsidR="00C6099A" w:rsidRPr="00CB5053" w:rsidRDefault="00C6099A" w:rsidP="00C6099A">
      <w:pPr>
        <w:jc w:val="both"/>
        <w:rPr>
          <w:rFonts w:eastAsia="Times New Roman" w:cs="Times New Roman"/>
          <w:color w:val="000000"/>
          <w:lang w:eastAsia="hu-HU"/>
        </w:rPr>
      </w:pPr>
    </w:p>
    <w:p w14:paraId="2A4FA56C"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(8) Amennyiben az önkormányzat év közben a költségvetési rendelet készítésekor nem ismert többletbevételhez jut, vagy bevételei a tervezettől elmaradnak, arról a polgármester a képviselő-testületet tájékoztatja.</w:t>
      </w:r>
    </w:p>
    <w:p w14:paraId="4C89E611" w14:textId="77777777" w:rsidR="00C6099A" w:rsidRPr="00CB5053" w:rsidRDefault="00C6099A" w:rsidP="00C6099A">
      <w:pPr>
        <w:jc w:val="both"/>
        <w:rPr>
          <w:rFonts w:eastAsia="Times New Roman" w:cs="Times New Roman"/>
          <w:color w:val="000000"/>
          <w:lang w:eastAsia="hu-HU"/>
        </w:rPr>
      </w:pPr>
    </w:p>
    <w:p w14:paraId="614BFF1A"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(9) A képviselő-testület által jóváhagyott kiemelt előirányzatokat valamennyi költségvetési szerv köteles betartani. Az előirányzat túllépés fegyelmi felelősséget von maga után.</w:t>
      </w:r>
    </w:p>
    <w:p w14:paraId="3B867BFC" w14:textId="77777777" w:rsidR="00C6099A" w:rsidRPr="00CB5053" w:rsidRDefault="00C6099A" w:rsidP="00C6099A">
      <w:pPr>
        <w:rPr>
          <w:rFonts w:eastAsia="Times New Roman" w:cs="Times New Roman"/>
          <w:color w:val="000000"/>
          <w:lang w:eastAsia="hu-HU"/>
        </w:rPr>
      </w:pPr>
    </w:p>
    <w:p w14:paraId="314F4FD5"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6. A gazdálkodás szabályai</w:t>
      </w:r>
    </w:p>
    <w:p w14:paraId="4AB67DB0"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6. §</w:t>
      </w:r>
    </w:p>
    <w:p w14:paraId="5600A493" w14:textId="77777777" w:rsidR="00C6099A" w:rsidRPr="00CB5053" w:rsidRDefault="00C6099A" w:rsidP="00C6099A">
      <w:pPr>
        <w:jc w:val="center"/>
        <w:rPr>
          <w:rFonts w:eastAsia="Times New Roman" w:cs="Times New Roman"/>
          <w:b/>
          <w:bCs/>
          <w:color w:val="000000"/>
          <w:lang w:eastAsia="hu-HU"/>
        </w:rPr>
      </w:pPr>
    </w:p>
    <w:p w14:paraId="71B67ADC"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(1) A költségvetési szervek rendeletben meghatározott bevételi és kiadási előirányzatai felett az intézmények vezetői előirányzat-felhasználási jogkörrel rendelkeznek.</w:t>
      </w:r>
    </w:p>
    <w:p w14:paraId="00943380" w14:textId="77777777" w:rsidR="00C6099A" w:rsidRPr="00CB5053" w:rsidRDefault="00C6099A" w:rsidP="00C6099A">
      <w:pPr>
        <w:jc w:val="both"/>
        <w:rPr>
          <w:rFonts w:eastAsia="Times New Roman" w:cs="Times New Roman"/>
          <w:color w:val="000000"/>
          <w:lang w:eastAsia="hu-HU"/>
        </w:rPr>
      </w:pPr>
    </w:p>
    <w:p w14:paraId="5088666D"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(2) A költségvetési szervek az alapfeladatai ellátását szolgáló személyi juttatásokkal és az azokhoz kapcsolódó járulékok és egyéb </w:t>
      </w:r>
      <w:proofErr w:type="spellStart"/>
      <w:r w:rsidRPr="00CB5053">
        <w:rPr>
          <w:rFonts w:eastAsia="Times New Roman" w:cs="Times New Roman"/>
          <w:color w:val="000000"/>
          <w:lang w:eastAsia="hu-HU"/>
        </w:rPr>
        <w:t>közterhek</w:t>
      </w:r>
      <w:proofErr w:type="spellEnd"/>
      <w:r w:rsidRPr="00CB5053">
        <w:rPr>
          <w:rFonts w:eastAsia="Times New Roman" w:cs="Times New Roman"/>
          <w:color w:val="000000"/>
          <w:lang w:eastAsia="hu-HU"/>
        </w:rPr>
        <w:t xml:space="preserve"> előirányzataival minden esetben, egyéb előirányzatokkal a munkamegosztási megállapodás(ok)</w:t>
      </w:r>
      <w:proofErr w:type="spellStart"/>
      <w:r w:rsidRPr="00CB5053">
        <w:rPr>
          <w:rFonts w:eastAsia="Times New Roman" w:cs="Times New Roman"/>
          <w:color w:val="000000"/>
          <w:lang w:eastAsia="hu-HU"/>
        </w:rPr>
        <w:t>ban</w:t>
      </w:r>
      <w:proofErr w:type="spellEnd"/>
      <w:r w:rsidRPr="00CB5053">
        <w:rPr>
          <w:rFonts w:eastAsia="Times New Roman" w:cs="Times New Roman"/>
          <w:color w:val="000000"/>
          <w:lang w:eastAsia="hu-HU"/>
        </w:rPr>
        <w:t xml:space="preserve"> foglaltaknak megfelelően rendelkezik.</w:t>
      </w:r>
    </w:p>
    <w:p w14:paraId="1BCE54E5" w14:textId="77777777" w:rsidR="00C6099A" w:rsidRPr="00CB5053" w:rsidRDefault="00C6099A" w:rsidP="00C6099A">
      <w:pPr>
        <w:jc w:val="both"/>
        <w:rPr>
          <w:rFonts w:eastAsia="Times New Roman" w:cs="Times New Roman"/>
          <w:color w:val="000000"/>
          <w:lang w:eastAsia="hu-HU"/>
        </w:rPr>
      </w:pPr>
    </w:p>
    <w:p w14:paraId="559B8658"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(3) Valamennyi költségvetési szerv vezetője köteles belső szabályzatban rögzíteni a működéshez, gazdálkodáshoz kapcsolódóan a gazdálkodás vitelét meghatározó szabályokat, a mindenkor érvényes központi szabályozás figyelembevételével, illetve a szükséges módosításokat végrehajtani. A </w:t>
      </w:r>
      <w:proofErr w:type="spellStart"/>
      <w:r w:rsidRPr="00CB5053">
        <w:rPr>
          <w:rFonts w:eastAsia="Times New Roman" w:cs="Times New Roman"/>
          <w:color w:val="000000"/>
          <w:lang w:eastAsia="hu-HU"/>
        </w:rPr>
        <w:t>szabályozásbeli</w:t>
      </w:r>
      <w:proofErr w:type="spellEnd"/>
      <w:r w:rsidRPr="00CB5053">
        <w:rPr>
          <w:rFonts w:eastAsia="Times New Roman" w:cs="Times New Roman"/>
          <w:color w:val="000000"/>
          <w:lang w:eastAsia="hu-HU"/>
        </w:rPr>
        <w:t xml:space="preserve"> hiányosságért, a felelősség a mindenkori intézményvezetőt terheli.</w:t>
      </w:r>
    </w:p>
    <w:p w14:paraId="4A7DBDCD" w14:textId="77777777" w:rsidR="00C6099A" w:rsidRPr="00CB5053" w:rsidRDefault="00C6099A" w:rsidP="00C6099A">
      <w:pPr>
        <w:jc w:val="both"/>
        <w:rPr>
          <w:rFonts w:eastAsia="Times New Roman" w:cs="Times New Roman"/>
          <w:color w:val="000000"/>
          <w:lang w:eastAsia="hu-HU"/>
        </w:rPr>
      </w:pPr>
    </w:p>
    <w:p w14:paraId="54E74786"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(4) A Hivatal, valamint a költségvetési szervek az évközi előirányzat-módosításokról a jegyző által elrendelt formában kötelesek naprakész nyilvántartást vezetni.</w:t>
      </w:r>
    </w:p>
    <w:p w14:paraId="47AFC8A7" w14:textId="77777777" w:rsidR="00C6099A" w:rsidRPr="00CB5053" w:rsidRDefault="00C6099A" w:rsidP="00C6099A">
      <w:pPr>
        <w:rPr>
          <w:rFonts w:eastAsia="Times New Roman" w:cs="Times New Roman"/>
          <w:color w:val="000000"/>
          <w:lang w:eastAsia="hu-HU"/>
        </w:rPr>
      </w:pPr>
    </w:p>
    <w:p w14:paraId="3DB19ADD"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7. A költségvetés végrehajtásának ellenőrzése</w:t>
      </w:r>
    </w:p>
    <w:p w14:paraId="618EF536"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7. §</w:t>
      </w:r>
    </w:p>
    <w:p w14:paraId="44620C28" w14:textId="77777777" w:rsidR="00C6099A" w:rsidRPr="00CB5053" w:rsidRDefault="00C6099A" w:rsidP="00C6099A">
      <w:pPr>
        <w:jc w:val="center"/>
        <w:rPr>
          <w:rFonts w:eastAsia="Times New Roman" w:cs="Times New Roman"/>
          <w:b/>
          <w:bCs/>
          <w:color w:val="000000"/>
          <w:lang w:eastAsia="hu-HU"/>
        </w:rPr>
      </w:pPr>
    </w:p>
    <w:p w14:paraId="007937D2"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 xml:space="preserve">(1) Az önkormányzati költségvetési szervek ellenőrzése a belső kontrollrendszer keretében </w:t>
      </w:r>
      <w:r w:rsidRPr="00CB5053">
        <w:rPr>
          <w:rFonts w:eastAsia="Times New Roman" w:cs="Times New Roman"/>
          <w:color w:val="000000"/>
          <w:lang w:eastAsia="hu-HU"/>
        </w:rPr>
        <w:lastRenderedPageBreak/>
        <w:t>valósul meg, melynek létrehozásáért, működtetésért és továbbfejlesztéséért az önkormányzat esetében a jegyző, az intézmények esetében az intézményvezető felelős.</w:t>
      </w:r>
    </w:p>
    <w:p w14:paraId="455F2C3C" w14:textId="77777777" w:rsidR="00C6099A" w:rsidRPr="00CB5053" w:rsidRDefault="00C6099A" w:rsidP="00C6099A">
      <w:pPr>
        <w:jc w:val="both"/>
        <w:rPr>
          <w:rFonts w:eastAsia="Times New Roman" w:cs="Times New Roman"/>
          <w:color w:val="000000"/>
          <w:lang w:eastAsia="hu-HU"/>
        </w:rPr>
      </w:pPr>
    </w:p>
    <w:p w14:paraId="6F30D56F" w14:textId="77777777" w:rsidR="00C6099A" w:rsidRPr="00CB5053" w:rsidRDefault="00C6099A" w:rsidP="00C6099A">
      <w:pPr>
        <w:jc w:val="both"/>
        <w:rPr>
          <w:rFonts w:eastAsia="Times New Roman" w:cs="Times New Roman"/>
          <w:color w:val="000000"/>
          <w:lang w:eastAsia="hu-HU"/>
        </w:rPr>
      </w:pPr>
      <w:r w:rsidRPr="00CB5053">
        <w:rPr>
          <w:rFonts w:eastAsia="Times New Roman" w:cs="Times New Roman"/>
          <w:color w:val="000000"/>
          <w:lang w:eastAsia="hu-HU"/>
        </w:rPr>
        <w:t>(2) Az Önkormányzat a belső ellenőrzés kialakításáról külső vállalkozó útján gondoskodik. A megfelelő működtetésről és a függetlenség biztosításáról a jegyző köteles gondoskodni.</w:t>
      </w:r>
    </w:p>
    <w:p w14:paraId="3F78EE3F" w14:textId="77777777" w:rsidR="00C6099A" w:rsidRPr="00CB5053" w:rsidRDefault="00C6099A" w:rsidP="00C6099A">
      <w:pPr>
        <w:rPr>
          <w:rFonts w:eastAsia="Times New Roman" w:cs="Times New Roman"/>
          <w:color w:val="000000"/>
          <w:lang w:eastAsia="hu-HU"/>
        </w:rPr>
      </w:pPr>
    </w:p>
    <w:p w14:paraId="1D58C885" w14:textId="77777777" w:rsidR="00C6099A" w:rsidRPr="00CB5053" w:rsidRDefault="00C6099A" w:rsidP="00C6099A">
      <w:pPr>
        <w:rPr>
          <w:rFonts w:eastAsia="Times New Roman" w:cs="Times New Roman"/>
          <w:color w:val="000000"/>
          <w:lang w:eastAsia="hu-HU"/>
        </w:rPr>
      </w:pPr>
    </w:p>
    <w:p w14:paraId="464C915C" w14:textId="77777777" w:rsidR="00C6099A" w:rsidRPr="00CB5053" w:rsidRDefault="00C6099A" w:rsidP="00C6099A">
      <w:pPr>
        <w:rPr>
          <w:rFonts w:eastAsia="Times New Roman" w:cs="Times New Roman"/>
          <w:color w:val="000000"/>
          <w:lang w:eastAsia="hu-HU"/>
        </w:rPr>
      </w:pPr>
    </w:p>
    <w:p w14:paraId="02715AAE" w14:textId="77777777" w:rsidR="00C6099A" w:rsidRPr="00CB5053" w:rsidRDefault="00C6099A" w:rsidP="00C6099A">
      <w:pPr>
        <w:rPr>
          <w:rFonts w:eastAsia="Times New Roman" w:cs="Times New Roman"/>
          <w:color w:val="000000"/>
          <w:lang w:eastAsia="hu-HU"/>
        </w:rPr>
      </w:pPr>
    </w:p>
    <w:p w14:paraId="51B07A09"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8. Záró rendelkezések</w:t>
      </w:r>
    </w:p>
    <w:p w14:paraId="7A468748" w14:textId="77777777" w:rsidR="00C6099A" w:rsidRPr="00CB5053" w:rsidRDefault="00C6099A" w:rsidP="00C6099A">
      <w:pPr>
        <w:jc w:val="center"/>
        <w:rPr>
          <w:rFonts w:eastAsia="Times New Roman" w:cs="Times New Roman"/>
          <w:b/>
          <w:bCs/>
          <w:color w:val="000000"/>
          <w:lang w:eastAsia="hu-HU"/>
        </w:rPr>
      </w:pPr>
      <w:r w:rsidRPr="00CB5053">
        <w:rPr>
          <w:rFonts w:eastAsia="Times New Roman" w:cs="Times New Roman"/>
          <w:b/>
          <w:bCs/>
          <w:color w:val="000000"/>
          <w:lang w:eastAsia="hu-HU"/>
        </w:rPr>
        <w:t>8. §</w:t>
      </w:r>
    </w:p>
    <w:p w14:paraId="7EC0C818" w14:textId="77777777" w:rsidR="00C6099A" w:rsidRPr="00CB5053" w:rsidRDefault="00C6099A" w:rsidP="00C6099A">
      <w:pPr>
        <w:jc w:val="center"/>
        <w:rPr>
          <w:rFonts w:eastAsia="Times New Roman" w:cs="Times New Roman"/>
          <w:b/>
          <w:bCs/>
          <w:color w:val="000000"/>
          <w:lang w:eastAsia="hu-HU"/>
        </w:rPr>
      </w:pPr>
    </w:p>
    <w:p w14:paraId="44C93322" w14:textId="77777777" w:rsidR="00C6099A" w:rsidRPr="00CB5053" w:rsidRDefault="00C6099A" w:rsidP="00C6099A">
      <w:pPr>
        <w:rPr>
          <w:rFonts w:eastAsia="Times New Roman" w:cs="Times New Roman"/>
          <w:color w:val="000000"/>
          <w:lang w:eastAsia="hu-HU"/>
        </w:rPr>
      </w:pPr>
      <w:r w:rsidRPr="00CB5053">
        <w:rPr>
          <w:rFonts w:eastAsia="Times New Roman" w:cs="Times New Roman"/>
          <w:color w:val="000000"/>
          <w:lang w:eastAsia="hu-HU"/>
        </w:rPr>
        <w:t>Ez a rendelet a kihirdetését követő napon lép hatályba, és 2025. december 31-én hatályát veszti.</w:t>
      </w:r>
    </w:p>
    <w:p w14:paraId="75BB8746" w14:textId="77777777" w:rsidR="00C6099A" w:rsidRPr="00CB5053" w:rsidRDefault="00C6099A" w:rsidP="00C6099A">
      <w:pPr>
        <w:rPr>
          <w:rFonts w:cs="Times New Roman"/>
        </w:rPr>
      </w:pPr>
    </w:p>
    <w:p w14:paraId="36418629" w14:textId="77777777" w:rsidR="00C6099A" w:rsidRPr="00CB5053" w:rsidRDefault="00C6099A" w:rsidP="00C6099A">
      <w:pPr>
        <w:rPr>
          <w:rFonts w:cs="Times New Roman"/>
        </w:rPr>
      </w:pPr>
    </w:p>
    <w:p w14:paraId="0AC4A4F2" w14:textId="77777777" w:rsidR="00C6099A" w:rsidRPr="00CB5053" w:rsidRDefault="00C6099A" w:rsidP="00C6099A">
      <w:pPr>
        <w:rPr>
          <w:rFonts w:cs="Times New Roman"/>
        </w:rPr>
      </w:pPr>
    </w:p>
    <w:p w14:paraId="34F8876B" w14:textId="77777777" w:rsidR="00C6099A" w:rsidRPr="00CB5053" w:rsidRDefault="00C6099A" w:rsidP="00C6099A">
      <w:pPr>
        <w:rPr>
          <w:rFonts w:cs="Times New Roman"/>
        </w:rPr>
      </w:pPr>
      <w:r w:rsidRPr="00CB5053">
        <w:rPr>
          <w:rFonts w:cs="Times New Roman"/>
        </w:rPr>
        <w:t>…………………………….</w:t>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t xml:space="preserve">     …………………………..</w:t>
      </w:r>
    </w:p>
    <w:p w14:paraId="3D6FF3DB" w14:textId="77777777" w:rsidR="00C6099A" w:rsidRPr="00CB5053" w:rsidRDefault="00C6099A" w:rsidP="00C6099A">
      <w:pPr>
        <w:rPr>
          <w:rFonts w:cs="Times New Roman"/>
        </w:rPr>
      </w:pPr>
      <w:r w:rsidRPr="00CB5053">
        <w:rPr>
          <w:rFonts w:cs="Times New Roman"/>
        </w:rPr>
        <w:t xml:space="preserve">         Ferenczy Ernő</w:t>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t>Schottner Norbert</w:t>
      </w:r>
    </w:p>
    <w:p w14:paraId="0AEAE630" w14:textId="77777777" w:rsidR="00C6099A" w:rsidRPr="00CB5053" w:rsidRDefault="00C6099A" w:rsidP="00C6099A">
      <w:pPr>
        <w:rPr>
          <w:rFonts w:cs="Times New Roman"/>
        </w:rPr>
      </w:pPr>
      <w:r w:rsidRPr="00CB5053">
        <w:rPr>
          <w:rFonts w:cs="Times New Roman"/>
        </w:rPr>
        <w:t xml:space="preserve">          polgármester</w:t>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t xml:space="preserve">         jegyző</w:t>
      </w:r>
    </w:p>
    <w:p w14:paraId="708D79CE" w14:textId="77777777" w:rsidR="00C6099A" w:rsidRPr="00CB5053" w:rsidRDefault="00C6099A" w:rsidP="00C6099A">
      <w:pPr>
        <w:rPr>
          <w:rFonts w:cs="Times New Roman"/>
        </w:rPr>
      </w:pPr>
    </w:p>
    <w:p w14:paraId="7E86C0C7" w14:textId="77777777" w:rsidR="00C6099A" w:rsidRPr="00CB5053" w:rsidRDefault="00C6099A" w:rsidP="00C6099A">
      <w:pPr>
        <w:rPr>
          <w:rFonts w:cs="Times New Roman"/>
        </w:rPr>
      </w:pPr>
    </w:p>
    <w:p w14:paraId="129E96B2" w14:textId="77777777" w:rsidR="00C6099A" w:rsidRPr="00CB5053" w:rsidRDefault="00C6099A" w:rsidP="00C6099A">
      <w:pPr>
        <w:rPr>
          <w:rFonts w:cs="Times New Roman"/>
        </w:rPr>
      </w:pPr>
      <w:r w:rsidRPr="00CB5053">
        <w:rPr>
          <w:rFonts w:cs="Times New Roman"/>
        </w:rPr>
        <w:t>Kihirdetve: 2025.02…..</w:t>
      </w:r>
    </w:p>
    <w:p w14:paraId="6907DCA4" w14:textId="77777777" w:rsidR="00C6099A" w:rsidRPr="00CB5053" w:rsidRDefault="00C6099A" w:rsidP="00C6099A">
      <w:pPr>
        <w:rPr>
          <w:rFonts w:cs="Times New Roman"/>
        </w:rPr>
      </w:pPr>
      <w:r w:rsidRPr="00CB5053">
        <w:rPr>
          <w:rFonts w:cs="Times New Roman"/>
        </w:rPr>
        <w:tab/>
      </w:r>
      <w:r w:rsidRPr="00CB5053">
        <w:rPr>
          <w:rFonts w:cs="Times New Roman"/>
        </w:rPr>
        <w:tab/>
      </w:r>
      <w:r w:rsidRPr="00CB5053">
        <w:rPr>
          <w:rFonts w:cs="Times New Roman"/>
        </w:rPr>
        <w:tab/>
      </w:r>
      <w:r w:rsidRPr="00CB5053">
        <w:rPr>
          <w:rFonts w:cs="Times New Roman"/>
        </w:rPr>
        <w:tab/>
        <w:t>…………………………</w:t>
      </w:r>
    </w:p>
    <w:p w14:paraId="6DA85F56" w14:textId="77777777" w:rsidR="00C6099A" w:rsidRPr="00CB5053" w:rsidRDefault="00C6099A" w:rsidP="00C6099A">
      <w:pPr>
        <w:rPr>
          <w:rFonts w:cs="Times New Roman"/>
        </w:rPr>
      </w:pPr>
      <w:r w:rsidRPr="00CB5053">
        <w:rPr>
          <w:rFonts w:cs="Times New Roman"/>
        </w:rPr>
        <w:tab/>
      </w:r>
      <w:r w:rsidRPr="00CB5053">
        <w:rPr>
          <w:rFonts w:cs="Times New Roman"/>
        </w:rPr>
        <w:tab/>
      </w:r>
      <w:r w:rsidRPr="00CB5053">
        <w:rPr>
          <w:rFonts w:cs="Times New Roman"/>
        </w:rPr>
        <w:tab/>
      </w:r>
      <w:r w:rsidRPr="00CB5053">
        <w:rPr>
          <w:rFonts w:cs="Times New Roman"/>
        </w:rPr>
        <w:tab/>
        <w:t xml:space="preserve">      Schottner Norbert</w:t>
      </w:r>
    </w:p>
    <w:p w14:paraId="6F5E4553" w14:textId="77777777" w:rsidR="00C6099A" w:rsidRPr="00CB5053" w:rsidRDefault="00C6099A" w:rsidP="00C6099A">
      <w:pPr>
        <w:rPr>
          <w:rFonts w:cs="Times New Roman"/>
        </w:rPr>
      </w:pPr>
      <w:r w:rsidRPr="00CB5053">
        <w:rPr>
          <w:rFonts w:cs="Times New Roman"/>
        </w:rPr>
        <w:tab/>
      </w:r>
      <w:r w:rsidRPr="00CB5053">
        <w:rPr>
          <w:rFonts w:cs="Times New Roman"/>
        </w:rPr>
        <w:tab/>
      </w:r>
      <w:r w:rsidRPr="00CB5053">
        <w:rPr>
          <w:rFonts w:cs="Times New Roman"/>
        </w:rPr>
        <w:tab/>
      </w:r>
      <w:r w:rsidRPr="00CB5053">
        <w:rPr>
          <w:rFonts w:cs="Times New Roman"/>
        </w:rPr>
        <w:tab/>
      </w:r>
      <w:r w:rsidRPr="00CB5053">
        <w:rPr>
          <w:rFonts w:cs="Times New Roman"/>
        </w:rPr>
        <w:tab/>
        <w:t xml:space="preserve">   jegyző</w:t>
      </w:r>
    </w:p>
    <w:p w14:paraId="0E966E54" w14:textId="77777777" w:rsidR="00C6099A" w:rsidRPr="00CB5053" w:rsidRDefault="00C6099A" w:rsidP="00C6099A">
      <w:pPr>
        <w:rPr>
          <w:rFonts w:cs="Times New Roman"/>
        </w:rPr>
      </w:pPr>
    </w:p>
    <w:p w14:paraId="6D5DC716" w14:textId="77777777" w:rsidR="00C04899" w:rsidRPr="00CB5053" w:rsidRDefault="00C04899" w:rsidP="00C6099A">
      <w:pPr>
        <w:widowControl/>
        <w:suppressAutoHyphens w:val="0"/>
        <w:rPr>
          <w:rFonts w:cs="Times New Roman"/>
          <w:b/>
        </w:rPr>
      </w:pPr>
    </w:p>
    <w:sectPr w:rsidR="00C04899" w:rsidRPr="00CB5053" w:rsidSect="00902B44">
      <w:footerReference w:type="default" r:id="rId12"/>
      <w:pgSz w:w="11907" w:h="16840" w:code="9"/>
      <w:pgMar w:top="1440" w:right="1440" w:bottom="1440" w:left="1440"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D995A" w14:textId="77777777" w:rsidR="00A852EA" w:rsidRDefault="00A852EA" w:rsidP="00EF06F8">
      <w:r>
        <w:separator/>
      </w:r>
    </w:p>
  </w:endnote>
  <w:endnote w:type="continuationSeparator" w:id="0">
    <w:p w14:paraId="4B2ADFDE" w14:textId="77777777" w:rsidR="00A852EA" w:rsidRDefault="00A852EA" w:rsidP="00E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72148"/>
      <w:docPartObj>
        <w:docPartGallery w:val="Page Numbers (Bottom of Page)"/>
        <w:docPartUnique/>
      </w:docPartObj>
    </w:sdtPr>
    <w:sdtContent>
      <w:p w14:paraId="7E6D1AF7" w14:textId="77777777" w:rsidR="00D3542C" w:rsidRDefault="00D3542C">
        <w:pPr>
          <w:pStyle w:val="llb"/>
          <w:jc w:val="center"/>
        </w:pPr>
        <w:r>
          <w:fldChar w:fldCharType="begin"/>
        </w:r>
        <w:r>
          <w:instrText>PAGE   \* MERGEFORMAT</w:instrText>
        </w:r>
        <w:r>
          <w:fldChar w:fldCharType="separate"/>
        </w:r>
        <w:r w:rsidR="00F57948">
          <w:rPr>
            <w:noProof/>
          </w:rPr>
          <w:t>16</w:t>
        </w:r>
        <w:r>
          <w:fldChar w:fldCharType="end"/>
        </w:r>
      </w:p>
    </w:sdtContent>
  </w:sdt>
  <w:p w14:paraId="3AB0685F" w14:textId="77777777" w:rsidR="00D3542C" w:rsidRDefault="00D3542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8D46" w14:textId="77777777" w:rsidR="00A852EA" w:rsidRDefault="00A852EA" w:rsidP="00EF06F8">
      <w:r>
        <w:separator/>
      </w:r>
    </w:p>
  </w:footnote>
  <w:footnote w:type="continuationSeparator" w:id="0">
    <w:p w14:paraId="3A91748B" w14:textId="77777777" w:rsidR="00A852EA" w:rsidRDefault="00A852EA" w:rsidP="00EF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AF07A8"/>
    <w:multiLevelType w:val="hybridMultilevel"/>
    <w:tmpl w:val="CC46299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223770"/>
    <w:multiLevelType w:val="multilevel"/>
    <w:tmpl w:val="0000000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1A16DA0"/>
    <w:multiLevelType w:val="hybridMultilevel"/>
    <w:tmpl w:val="EA0C516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6474637"/>
    <w:multiLevelType w:val="hybridMultilevel"/>
    <w:tmpl w:val="DF926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7A0429C"/>
    <w:multiLevelType w:val="hybridMultilevel"/>
    <w:tmpl w:val="ADAE7D00"/>
    <w:lvl w:ilvl="0" w:tplc="040E0011">
      <w:start w:val="1"/>
      <w:numFmt w:val="decimal"/>
      <w:lvlText w:val="%1)"/>
      <w:lvlJc w:val="left"/>
      <w:pPr>
        <w:ind w:left="720" w:hanging="360"/>
      </w:pPr>
    </w:lvl>
    <w:lvl w:ilvl="1" w:tplc="DF8200DE">
      <w:numFmt w:val="bullet"/>
      <w:lvlText w:val="-"/>
      <w:lvlJc w:val="left"/>
      <w:pPr>
        <w:ind w:left="1440" w:hanging="360"/>
      </w:pPr>
      <w:rPr>
        <w:rFonts w:ascii="Garamond" w:eastAsia="Times New Roman" w:hAnsi="Garamond"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60401015">
    <w:abstractNumId w:val="0"/>
  </w:num>
  <w:num w:numId="2" w16cid:durableId="1432899996">
    <w:abstractNumId w:val="3"/>
  </w:num>
  <w:num w:numId="3" w16cid:durableId="719591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3872890">
    <w:abstractNumId w:val="5"/>
  </w:num>
  <w:num w:numId="5" w16cid:durableId="956835567">
    <w:abstractNumId w:val="6"/>
  </w:num>
  <w:num w:numId="6" w16cid:durableId="1017077846">
    <w:abstractNumId w:val="2"/>
  </w:num>
  <w:num w:numId="7" w16cid:durableId="1053958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31"/>
    <w:rsid w:val="00027DA9"/>
    <w:rsid w:val="00031621"/>
    <w:rsid w:val="00044AAB"/>
    <w:rsid w:val="000954F2"/>
    <w:rsid w:val="000C41D7"/>
    <w:rsid w:val="000E3416"/>
    <w:rsid w:val="000F6254"/>
    <w:rsid w:val="001454E3"/>
    <w:rsid w:val="001B1F3B"/>
    <w:rsid w:val="002013E3"/>
    <w:rsid w:val="00222D58"/>
    <w:rsid w:val="002A1848"/>
    <w:rsid w:val="002D2EB8"/>
    <w:rsid w:val="00365CFA"/>
    <w:rsid w:val="0038621A"/>
    <w:rsid w:val="003A59FE"/>
    <w:rsid w:val="003B46F5"/>
    <w:rsid w:val="003C2D5D"/>
    <w:rsid w:val="0044703A"/>
    <w:rsid w:val="00450B62"/>
    <w:rsid w:val="004526DD"/>
    <w:rsid w:val="004549F5"/>
    <w:rsid w:val="00484422"/>
    <w:rsid w:val="00487C9C"/>
    <w:rsid w:val="004D31A2"/>
    <w:rsid w:val="004D398B"/>
    <w:rsid w:val="004E4B34"/>
    <w:rsid w:val="004F4003"/>
    <w:rsid w:val="005254F6"/>
    <w:rsid w:val="0054377D"/>
    <w:rsid w:val="00587F41"/>
    <w:rsid w:val="005A5D23"/>
    <w:rsid w:val="005B50EE"/>
    <w:rsid w:val="006464A3"/>
    <w:rsid w:val="00647CFF"/>
    <w:rsid w:val="00673BB8"/>
    <w:rsid w:val="00681844"/>
    <w:rsid w:val="006C61A8"/>
    <w:rsid w:val="007006E4"/>
    <w:rsid w:val="00757686"/>
    <w:rsid w:val="0076117A"/>
    <w:rsid w:val="007745D5"/>
    <w:rsid w:val="007855F3"/>
    <w:rsid w:val="00796EC3"/>
    <w:rsid w:val="007B33CE"/>
    <w:rsid w:val="007B661A"/>
    <w:rsid w:val="0081699B"/>
    <w:rsid w:val="00836AF0"/>
    <w:rsid w:val="00863EF2"/>
    <w:rsid w:val="008B51FA"/>
    <w:rsid w:val="00902B44"/>
    <w:rsid w:val="009203F0"/>
    <w:rsid w:val="00992EC0"/>
    <w:rsid w:val="009A0F58"/>
    <w:rsid w:val="009F7164"/>
    <w:rsid w:val="00A10AB8"/>
    <w:rsid w:val="00A162B3"/>
    <w:rsid w:val="00A51FA7"/>
    <w:rsid w:val="00A852EA"/>
    <w:rsid w:val="00A91480"/>
    <w:rsid w:val="00AA4409"/>
    <w:rsid w:val="00AE1C5D"/>
    <w:rsid w:val="00B11DA9"/>
    <w:rsid w:val="00B14743"/>
    <w:rsid w:val="00B27A5F"/>
    <w:rsid w:val="00BA4439"/>
    <w:rsid w:val="00BA56EE"/>
    <w:rsid w:val="00BB6DBE"/>
    <w:rsid w:val="00BD175D"/>
    <w:rsid w:val="00BF3EA7"/>
    <w:rsid w:val="00C04899"/>
    <w:rsid w:val="00C211B2"/>
    <w:rsid w:val="00C37BF4"/>
    <w:rsid w:val="00C6099A"/>
    <w:rsid w:val="00C9167B"/>
    <w:rsid w:val="00CB193C"/>
    <w:rsid w:val="00CB5053"/>
    <w:rsid w:val="00CC0717"/>
    <w:rsid w:val="00CC4C46"/>
    <w:rsid w:val="00CF035C"/>
    <w:rsid w:val="00D15039"/>
    <w:rsid w:val="00D15E31"/>
    <w:rsid w:val="00D16A05"/>
    <w:rsid w:val="00D23D6C"/>
    <w:rsid w:val="00D32076"/>
    <w:rsid w:val="00D3542C"/>
    <w:rsid w:val="00D6506F"/>
    <w:rsid w:val="00D77A1D"/>
    <w:rsid w:val="00D91196"/>
    <w:rsid w:val="00D957A6"/>
    <w:rsid w:val="00D95CFF"/>
    <w:rsid w:val="00DC656D"/>
    <w:rsid w:val="00DD6F5B"/>
    <w:rsid w:val="00DF1233"/>
    <w:rsid w:val="00E23500"/>
    <w:rsid w:val="00E27564"/>
    <w:rsid w:val="00E65529"/>
    <w:rsid w:val="00E93F60"/>
    <w:rsid w:val="00EC5934"/>
    <w:rsid w:val="00ED397D"/>
    <w:rsid w:val="00ED6BF2"/>
    <w:rsid w:val="00EF06F8"/>
    <w:rsid w:val="00F13889"/>
    <w:rsid w:val="00F155D2"/>
    <w:rsid w:val="00F34D01"/>
    <w:rsid w:val="00F579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1A6F"/>
  <w15:chartTrackingRefBased/>
  <w15:docId w15:val="{63FE4F4A-92CC-4C46-ADA6-359F117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5E3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Cmsor1">
    <w:name w:val="heading 1"/>
    <w:basedOn w:val="Norml"/>
    <w:link w:val="Cmsor1Char"/>
    <w:uiPriority w:val="9"/>
    <w:qFormat/>
    <w:rsid w:val="00D15E31"/>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5E31"/>
    <w:rPr>
      <w:color w:val="0000FF"/>
      <w:u w:val="single"/>
    </w:rPr>
  </w:style>
  <w:style w:type="paragraph" w:styleId="Nincstrkz">
    <w:name w:val="No Spacing"/>
    <w:link w:val="NincstrkzChar"/>
    <w:uiPriority w:val="1"/>
    <w:qFormat/>
    <w:rsid w:val="00D15E31"/>
    <w:pPr>
      <w:spacing w:after="0" w:line="240" w:lineRule="auto"/>
    </w:pPr>
  </w:style>
  <w:style w:type="character" w:customStyle="1" w:styleId="Cmsor1Char">
    <w:name w:val="Címsor 1 Char"/>
    <w:basedOn w:val="Bekezdsalapbettpusa"/>
    <w:link w:val="Cmsor1"/>
    <w:uiPriority w:val="9"/>
    <w:rsid w:val="00D15E31"/>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D15E31"/>
    <w:pPr>
      <w:ind w:left="720"/>
      <w:contextualSpacing/>
    </w:pPr>
    <w:rPr>
      <w:szCs w:val="21"/>
    </w:rPr>
  </w:style>
  <w:style w:type="paragraph" w:styleId="lfej">
    <w:name w:val="header"/>
    <w:basedOn w:val="Norml"/>
    <w:link w:val="lfejChar"/>
    <w:uiPriority w:val="99"/>
    <w:unhideWhenUsed/>
    <w:rsid w:val="00EF06F8"/>
    <w:pPr>
      <w:tabs>
        <w:tab w:val="center" w:pos="4513"/>
        <w:tab w:val="right" w:pos="9026"/>
      </w:tabs>
    </w:pPr>
    <w:rPr>
      <w:szCs w:val="21"/>
    </w:rPr>
  </w:style>
  <w:style w:type="character" w:customStyle="1" w:styleId="lfejChar">
    <w:name w:val="Élőfej Char"/>
    <w:basedOn w:val="Bekezdsalapbettpusa"/>
    <w:link w:val="lfej"/>
    <w:uiPriority w:val="99"/>
    <w:rsid w:val="00EF06F8"/>
    <w:rPr>
      <w:rFonts w:ascii="Times New Roman" w:eastAsia="Lucida Sans Unicode" w:hAnsi="Times New Roman" w:cs="Mangal"/>
      <w:kern w:val="1"/>
      <w:sz w:val="24"/>
      <w:szCs w:val="21"/>
      <w:lang w:eastAsia="hi-IN" w:bidi="hi-IN"/>
    </w:rPr>
  </w:style>
  <w:style w:type="paragraph" w:styleId="llb">
    <w:name w:val="footer"/>
    <w:basedOn w:val="Norml"/>
    <w:link w:val="llbChar"/>
    <w:uiPriority w:val="99"/>
    <w:unhideWhenUsed/>
    <w:rsid w:val="00EF06F8"/>
    <w:pPr>
      <w:tabs>
        <w:tab w:val="center" w:pos="4513"/>
        <w:tab w:val="right" w:pos="9026"/>
      </w:tabs>
    </w:pPr>
    <w:rPr>
      <w:szCs w:val="21"/>
    </w:rPr>
  </w:style>
  <w:style w:type="character" w:customStyle="1" w:styleId="llbChar">
    <w:name w:val="Élőláb Char"/>
    <w:basedOn w:val="Bekezdsalapbettpusa"/>
    <w:link w:val="llb"/>
    <w:uiPriority w:val="99"/>
    <w:rsid w:val="00EF06F8"/>
    <w:rPr>
      <w:rFonts w:ascii="Times New Roman" w:eastAsia="Lucida Sans Unicode" w:hAnsi="Times New Roman" w:cs="Mangal"/>
      <w:kern w:val="1"/>
      <w:sz w:val="24"/>
      <w:szCs w:val="21"/>
      <w:lang w:eastAsia="hi-IN" w:bidi="hi-IN"/>
    </w:rPr>
  </w:style>
  <w:style w:type="paragraph" w:styleId="Szvegtrzs">
    <w:name w:val="Body Text"/>
    <w:basedOn w:val="Norml"/>
    <w:link w:val="SzvegtrzsChar"/>
    <w:uiPriority w:val="99"/>
    <w:rsid w:val="00C37BF4"/>
    <w:pPr>
      <w:widowControl/>
      <w:suppressAutoHyphens w:val="0"/>
      <w:jc w:val="both"/>
    </w:pPr>
    <w:rPr>
      <w:rFonts w:eastAsia="Times New Roman" w:cs="Times New Roman"/>
      <w:kern w:val="0"/>
      <w:sz w:val="28"/>
      <w:szCs w:val="20"/>
      <w:lang w:eastAsia="hu-HU" w:bidi="ar-SA"/>
    </w:rPr>
  </w:style>
  <w:style w:type="character" w:customStyle="1" w:styleId="SzvegtrzsChar">
    <w:name w:val="Szövegtörzs Char"/>
    <w:basedOn w:val="Bekezdsalapbettpusa"/>
    <w:link w:val="Szvegtrzs"/>
    <w:uiPriority w:val="99"/>
    <w:rsid w:val="00C37BF4"/>
    <w:rPr>
      <w:rFonts w:ascii="Times New Roman" w:eastAsia="Times New Roman" w:hAnsi="Times New Roman" w:cs="Times New Roman"/>
      <w:sz w:val="28"/>
      <w:szCs w:val="20"/>
      <w:lang w:eastAsia="hu-HU"/>
    </w:rPr>
  </w:style>
  <w:style w:type="character" w:customStyle="1" w:styleId="NincstrkzChar">
    <w:name w:val="Nincs térköz Char"/>
    <w:link w:val="Nincstrkz"/>
    <w:uiPriority w:val="1"/>
    <w:rsid w:val="00E23500"/>
  </w:style>
  <w:style w:type="paragraph" w:customStyle="1" w:styleId="Default">
    <w:name w:val="Default"/>
    <w:rsid w:val="00D1503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8912">
      <w:bodyDiv w:val="1"/>
      <w:marLeft w:val="0"/>
      <w:marRight w:val="0"/>
      <w:marTop w:val="0"/>
      <w:marBottom w:val="0"/>
      <w:divBdr>
        <w:top w:val="none" w:sz="0" w:space="0" w:color="auto"/>
        <w:left w:val="none" w:sz="0" w:space="0" w:color="auto"/>
        <w:bottom w:val="none" w:sz="0" w:space="0" w:color="auto"/>
        <w:right w:val="none" w:sz="0" w:space="0" w:color="auto"/>
      </w:divBdr>
    </w:div>
    <w:div w:id="387608832">
      <w:bodyDiv w:val="1"/>
      <w:marLeft w:val="0"/>
      <w:marRight w:val="0"/>
      <w:marTop w:val="0"/>
      <w:marBottom w:val="0"/>
      <w:divBdr>
        <w:top w:val="none" w:sz="0" w:space="0" w:color="auto"/>
        <w:left w:val="none" w:sz="0" w:space="0" w:color="auto"/>
        <w:bottom w:val="none" w:sz="0" w:space="0" w:color="auto"/>
        <w:right w:val="none" w:sz="0" w:space="0" w:color="auto"/>
      </w:divBdr>
    </w:div>
    <w:div w:id="753354899">
      <w:bodyDiv w:val="1"/>
      <w:marLeft w:val="0"/>
      <w:marRight w:val="0"/>
      <w:marTop w:val="0"/>
      <w:marBottom w:val="0"/>
      <w:divBdr>
        <w:top w:val="none" w:sz="0" w:space="0" w:color="auto"/>
        <w:left w:val="none" w:sz="0" w:space="0" w:color="auto"/>
        <w:bottom w:val="none" w:sz="0" w:space="0" w:color="auto"/>
        <w:right w:val="none" w:sz="0" w:space="0" w:color="auto"/>
      </w:divBdr>
    </w:div>
    <w:div w:id="809009108">
      <w:bodyDiv w:val="1"/>
      <w:marLeft w:val="0"/>
      <w:marRight w:val="0"/>
      <w:marTop w:val="0"/>
      <w:marBottom w:val="0"/>
      <w:divBdr>
        <w:top w:val="none" w:sz="0" w:space="0" w:color="auto"/>
        <w:left w:val="none" w:sz="0" w:space="0" w:color="auto"/>
        <w:bottom w:val="none" w:sz="0" w:space="0" w:color="auto"/>
        <w:right w:val="none" w:sz="0" w:space="0" w:color="auto"/>
      </w:divBdr>
    </w:div>
    <w:div w:id="886571137">
      <w:bodyDiv w:val="1"/>
      <w:marLeft w:val="0"/>
      <w:marRight w:val="0"/>
      <w:marTop w:val="0"/>
      <w:marBottom w:val="0"/>
      <w:divBdr>
        <w:top w:val="none" w:sz="0" w:space="0" w:color="auto"/>
        <w:left w:val="none" w:sz="0" w:space="0" w:color="auto"/>
        <w:bottom w:val="none" w:sz="0" w:space="0" w:color="auto"/>
        <w:right w:val="none" w:sz="0" w:space="0" w:color="auto"/>
      </w:divBdr>
    </w:div>
    <w:div w:id="992760442">
      <w:bodyDiv w:val="1"/>
      <w:marLeft w:val="0"/>
      <w:marRight w:val="0"/>
      <w:marTop w:val="0"/>
      <w:marBottom w:val="0"/>
      <w:divBdr>
        <w:top w:val="none" w:sz="0" w:space="0" w:color="auto"/>
        <w:left w:val="none" w:sz="0" w:space="0" w:color="auto"/>
        <w:bottom w:val="none" w:sz="0" w:space="0" w:color="auto"/>
        <w:right w:val="none" w:sz="0" w:space="0" w:color="auto"/>
      </w:divBdr>
    </w:div>
    <w:div w:id="1494177760">
      <w:bodyDiv w:val="1"/>
      <w:marLeft w:val="0"/>
      <w:marRight w:val="0"/>
      <w:marTop w:val="0"/>
      <w:marBottom w:val="0"/>
      <w:divBdr>
        <w:top w:val="none" w:sz="0" w:space="0" w:color="auto"/>
        <w:left w:val="none" w:sz="0" w:space="0" w:color="auto"/>
        <w:bottom w:val="none" w:sz="0" w:space="0" w:color="auto"/>
        <w:right w:val="none" w:sz="0" w:space="0" w:color="auto"/>
      </w:divBdr>
    </w:div>
    <w:div w:id="1564370953">
      <w:bodyDiv w:val="1"/>
      <w:marLeft w:val="0"/>
      <w:marRight w:val="0"/>
      <w:marTop w:val="0"/>
      <w:marBottom w:val="0"/>
      <w:divBdr>
        <w:top w:val="none" w:sz="0" w:space="0" w:color="auto"/>
        <w:left w:val="none" w:sz="0" w:space="0" w:color="auto"/>
        <w:bottom w:val="none" w:sz="0" w:space="0" w:color="auto"/>
        <w:right w:val="none" w:sz="0" w:space="0" w:color="auto"/>
      </w:divBdr>
    </w:div>
    <w:div w:id="1925214248">
      <w:bodyDiv w:val="1"/>
      <w:marLeft w:val="0"/>
      <w:marRight w:val="0"/>
      <w:marTop w:val="0"/>
      <w:marBottom w:val="0"/>
      <w:divBdr>
        <w:top w:val="none" w:sz="0" w:space="0" w:color="auto"/>
        <w:left w:val="none" w:sz="0" w:space="0" w:color="auto"/>
        <w:bottom w:val="none" w:sz="0" w:space="0" w:color="auto"/>
        <w:right w:val="none" w:sz="0" w:space="0" w:color="auto"/>
      </w:divBdr>
    </w:div>
    <w:div w:id="2061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zebegeny.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8b4a0e12e4934f1/1%20Iktat&#225;s/1%20Kismaros/2025/0000%20JEGYZ&#336;%20zebeg&#233;ny%20k&#246;lts&#233;gvet&#233;s%202/ZEBEG&#201;NY_koltsegvetes_2025_v13.2025.02.17%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98b4a0e12e4934f1/1%20Iktat&#225;s/1%20Kismaros/2025/0000%20JEGYZ&#336;%20zebeg&#233;ny%20k&#246;lts&#233;gvet&#233;s%202/ZEBEG&#201;NY_koltsegvetes_2025_v13.2025.02.17%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98b4a0e12e4934f1/1%20Iktat&#225;s/1%20Kismaros/2025/0000%20JEGYZ&#336;%20zebeg&#233;ny%20k&#246;lts&#233;gvet&#233;s%202/ZEBEG&#201;NY_koltsegvetes_2025_v13.2025.02.17%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71394388515377"/>
          <c:y val="2.4054982817869417E-2"/>
          <c:w val="0.37328622947394624"/>
          <c:h val="0.67585978299104355"/>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218-4A36-8975-29E96CE7126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218-4A36-8975-29E96CE7126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218-4A36-8975-29E96CE71261}"/>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5218-4A36-8975-29E96CE71261}"/>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5218-4A36-8975-29E96CE71261}"/>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5218-4A36-8975-29E96CE71261}"/>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5218-4A36-8975-29E96CE71261}"/>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5218-4A36-8975-29E96CE71261}"/>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Előterjesztés!$D$50:$D$57</c:f>
              <c:strCache>
                <c:ptCount val="8"/>
                <c:pt idx="0">
                  <c:v>Működési célú támogatások ÁH-n belülről</c:v>
                </c:pt>
                <c:pt idx="1">
                  <c:v>Felhalmozási célú támogatások ÁH-n belülről</c:v>
                </c:pt>
                <c:pt idx="2">
                  <c:v>Közhatalmi bevételek</c:v>
                </c:pt>
                <c:pt idx="3">
                  <c:v>Működési bevételek</c:v>
                </c:pt>
                <c:pt idx="4">
                  <c:v>Felhalmozási bevételek</c:v>
                </c:pt>
                <c:pt idx="5">
                  <c:v>Működési célú átvett pénzeszközök</c:v>
                </c:pt>
                <c:pt idx="6">
                  <c:v>Felhalmozási célú átvett pénzeszközök</c:v>
                </c:pt>
                <c:pt idx="7">
                  <c:v>Finanszírozási bevételek</c:v>
                </c:pt>
              </c:strCache>
            </c:strRef>
          </c:cat>
          <c:val>
            <c:numRef>
              <c:f>Előterjesztés!$G$50:$G$57</c:f>
              <c:numCache>
                <c:formatCode>"Ft"#,##0_);[Red]\("Ft"#,##0\)</c:formatCode>
                <c:ptCount val="8"/>
                <c:pt idx="0">
                  <c:v>219924863</c:v>
                </c:pt>
                <c:pt idx="1">
                  <c:v>149200600</c:v>
                </c:pt>
                <c:pt idx="2">
                  <c:v>93700000</c:v>
                </c:pt>
                <c:pt idx="3">
                  <c:v>64125943</c:v>
                </c:pt>
                <c:pt idx="4">
                  <c:v>73899714</c:v>
                </c:pt>
                <c:pt idx="5">
                  <c:v>120000</c:v>
                </c:pt>
                <c:pt idx="6">
                  <c:v>0</c:v>
                </c:pt>
                <c:pt idx="7">
                  <c:v>42646009</c:v>
                </c:pt>
              </c:numCache>
            </c:numRef>
          </c:val>
          <c:extLst>
            <c:ext xmlns:c16="http://schemas.microsoft.com/office/drawing/2014/chart" uri="{C3380CC4-5D6E-409C-BE32-E72D297353CC}">
              <c16:uniqueId val="{00000010-5218-4A36-8975-29E96CE71261}"/>
            </c:ext>
          </c:extLst>
        </c:ser>
        <c:ser>
          <c:idx val="1"/>
          <c:order val="1"/>
          <c:dPt>
            <c:idx val="0"/>
            <c:bubble3D val="0"/>
            <c:spPr>
              <a:solidFill>
                <a:schemeClr val="accent6"/>
              </a:solidFill>
              <a:ln w="19050">
                <a:solidFill>
                  <a:schemeClr val="lt1"/>
                </a:solidFill>
              </a:ln>
              <a:effectLst/>
            </c:spPr>
            <c:extLst>
              <c:ext xmlns:c16="http://schemas.microsoft.com/office/drawing/2014/chart" uri="{C3380CC4-5D6E-409C-BE32-E72D297353CC}">
                <c16:uniqueId val="{00000012-5218-4A36-8975-29E96CE7126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14-5218-4A36-8975-29E96CE7126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16-5218-4A36-8975-29E96CE71261}"/>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8-5218-4A36-8975-29E96CE71261}"/>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A-5218-4A36-8975-29E96CE71261}"/>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C-5218-4A36-8975-29E96CE71261}"/>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1E-5218-4A36-8975-29E96CE71261}"/>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0-5218-4A36-8975-29E96CE71261}"/>
              </c:ext>
            </c:extLst>
          </c:dPt>
          <c:cat>
            <c:strRef>
              <c:f>Előterjesztés!$D$50:$D$57</c:f>
              <c:strCache>
                <c:ptCount val="8"/>
                <c:pt idx="0">
                  <c:v>Működési célú támogatások ÁH-n belülről</c:v>
                </c:pt>
                <c:pt idx="1">
                  <c:v>Felhalmozási célú támogatások ÁH-n belülről</c:v>
                </c:pt>
                <c:pt idx="2">
                  <c:v>Közhatalmi bevételek</c:v>
                </c:pt>
                <c:pt idx="3">
                  <c:v>Működési bevételek</c:v>
                </c:pt>
                <c:pt idx="4">
                  <c:v>Felhalmozási bevételek</c:v>
                </c:pt>
                <c:pt idx="5">
                  <c:v>Működési célú átvett pénzeszközök</c:v>
                </c:pt>
                <c:pt idx="6">
                  <c:v>Felhalmozási célú átvett pénzeszközök</c:v>
                </c:pt>
                <c:pt idx="7">
                  <c:v>Finanszírozási bevételek</c:v>
                </c:pt>
              </c:strCache>
            </c:strRef>
          </c:cat>
          <c:val>
            <c:numRef>
              <c:f>Előterjesztés!$H$50:$H$57</c:f>
              <c:numCache>
                <c:formatCode>General</c:formatCode>
                <c:ptCount val="8"/>
              </c:numCache>
            </c:numRef>
          </c:val>
          <c:extLst>
            <c:ext xmlns:c16="http://schemas.microsoft.com/office/drawing/2014/chart" uri="{C3380CC4-5D6E-409C-BE32-E72D297353CC}">
              <c16:uniqueId val="{00000021-5218-4A36-8975-29E96CE7126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1220219409852749E-2"/>
          <c:y val="0.72053332250994395"/>
          <c:w val="0.9794573949836155"/>
          <c:h val="0.258848120789025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aramond" panose="02020404030301010803" pitchFamily="18" charset="0"/>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671394388515377"/>
          <c:y val="2.4054982817869417E-2"/>
          <c:w val="0.37328622947394624"/>
          <c:h val="0.67585978299104355"/>
        </c:manualLayout>
      </c:layout>
      <c:pie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1-64E0-4AA5-BC32-B93743A49BC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64E0-4AA5-BC32-B93743A49BC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4E0-4AA5-BC32-B93743A49BC6}"/>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4E0-4AA5-BC32-B93743A49BC6}"/>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64E0-4AA5-BC32-B93743A49BC6}"/>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64E0-4AA5-BC32-B93743A49BC6}"/>
              </c:ext>
            </c:extLst>
          </c:dPt>
          <c:dPt>
            <c:idx val="6"/>
            <c:bubble3D val="0"/>
            <c:spPr>
              <a:solidFill>
                <a:srgbClr val="92D050"/>
              </a:solidFill>
              <a:ln w="19050">
                <a:solidFill>
                  <a:schemeClr val="lt1"/>
                </a:solidFill>
              </a:ln>
              <a:effectLst/>
            </c:spPr>
            <c:extLst>
              <c:ext xmlns:c16="http://schemas.microsoft.com/office/drawing/2014/chart" uri="{C3380CC4-5D6E-409C-BE32-E72D297353CC}">
                <c16:uniqueId val="{0000000D-64E0-4AA5-BC32-B93743A49BC6}"/>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64E0-4AA5-BC32-B93743A49BC6}"/>
              </c:ext>
            </c:extLst>
          </c:dPt>
          <c:dPt>
            <c:idx val="8"/>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11-64E0-4AA5-BC32-B93743A49BC6}"/>
              </c:ext>
            </c:extLst>
          </c:dPt>
          <c:dLbls>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Garamond" panose="02020404030301010803" pitchFamily="18" charset="0"/>
                    <a:ea typeface="+mn-ea"/>
                    <a:cs typeface="+mn-cs"/>
                  </a:defRPr>
                </a:pPr>
                <a:endParaRPr lang="hu-H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Előterjesztés!$D$65:$D$73</c:f>
              <c:strCache>
                <c:ptCount val="9"/>
                <c:pt idx="0">
                  <c:v>Személyi juttatások</c:v>
                </c:pt>
                <c:pt idx="1">
                  <c:v>Munkaadókat terhelő járulékok és SZHA</c:v>
                </c:pt>
                <c:pt idx="2">
                  <c:v>Dologi kiadások</c:v>
                </c:pt>
                <c:pt idx="3">
                  <c:v>Ellátottak pénzbeli juttatásai</c:v>
                </c:pt>
                <c:pt idx="4">
                  <c:v>Egyéb működési célú kiadások</c:v>
                </c:pt>
                <c:pt idx="5">
                  <c:v>Beruházások</c:v>
                </c:pt>
                <c:pt idx="6">
                  <c:v>Felújítások</c:v>
                </c:pt>
                <c:pt idx="7">
                  <c:v>Egyéb felhalmozási kiadások</c:v>
                </c:pt>
                <c:pt idx="8">
                  <c:v>Finanszírozási kiadások</c:v>
                </c:pt>
              </c:strCache>
            </c:strRef>
          </c:cat>
          <c:val>
            <c:numRef>
              <c:f>Előterjesztés!$G$65:$G$73</c:f>
              <c:numCache>
                <c:formatCode>"Ft"#,##0_);[Red]\("Ft"#,##0\)</c:formatCode>
                <c:ptCount val="9"/>
                <c:pt idx="0">
                  <c:v>197941621</c:v>
                </c:pt>
                <c:pt idx="1">
                  <c:v>25145887</c:v>
                </c:pt>
                <c:pt idx="2">
                  <c:v>145090617</c:v>
                </c:pt>
                <c:pt idx="3">
                  <c:v>7384000</c:v>
                </c:pt>
                <c:pt idx="4">
                  <c:v>13900000</c:v>
                </c:pt>
                <c:pt idx="5">
                  <c:v>83508000</c:v>
                </c:pt>
                <c:pt idx="6">
                  <c:v>170647004</c:v>
                </c:pt>
                <c:pt idx="7">
                  <c:v>0</c:v>
                </c:pt>
                <c:pt idx="8">
                  <c:v>0</c:v>
                </c:pt>
              </c:numCache>
            </c:numRef>
          </c:val>
          <c:extLst>
            <c:ext xmlns:c16="http://schemas.microsoft.com/office/drawing/2014/chart" uri="{C3380CC4-5D6E-409C-BE32-E72D297353CC}">
              <c16:uniqueId val="{00000012-64E0-4AA5-BC32-B93743A49BC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4-64E0-4AA5-BC32-B93743A49BC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16-64E0-4AA5-BC32-B93743A49BC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18-64E0-4AA5-BC32-B93743A49BC6}"/>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A-64E0-4AA5-BC32-B93743A49BC6}"/>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C-64E0-4AA5-BC32-B93743A49BC6}"/>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E-64E0-4AA5-BC32-B93743A49BC6}"/>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20-64E0-4AA5-BC32-B93743A49BC6}"/>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22-64E0-4AA5-BC32-B93743A49BC6}"/>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Előterjesztés!$D$65:$D$73</c:f>
              <c:strCache>
                <c:ptCount val="9"/>
                <c:pt idx="0">
                  <c:v>Személyi juttatások</c:v>
                </c:pt>
                <c:pt idx="1">
                  <c:v>Munkaadókat terhelő járulékok és SZHA</c:v>
                </c:pt>
                <c:pt idx="2">
                  <c:v>Dologi kiadások</c:v>
                </c:pt>
                <c:pt idx="3">
                  <c:v>Ellátottak pénzbeli juttatásai</c:v>
                </c:pt>
                <c:pt idx="4">
                  <c:v>Egyéb működési célú kiadások</c:v>
                </c:pt>
                <c:pt idx="5">
                  <c:v>Beruházások</c:v>
                </c:pt>
                <c:pt idx="6">
                  <c:v>Felújítások</c:v>
                </c:pt>
                <c:pt idx="7">
                  <c:v>Egyéb felhalmozási kiadások</c:v>
                </c:pt>
                <c:pt idx="8">
                  <c:v>Finanszírozási kiadások</c:v>
                </c:pt>
              </c:strCache>
            </c:strRef>
          </c:cat>
          <c:val>
            <c:numRef>
              <c:f>Előterjesztés!$H$50:$H$57</c:f>
              <c:numCache>
                <c:formatCode>General</c:formatCode>
                <c:ptCount val="8"/>
              </c:numCache>
            </c:numRef>
          </c:val>
          <c:extLst>
            <c:ext xmlns:c16="http://schemas.microsoft.com/office/drawing/2014/chart" uri="{C3380CC4-5D6E-409C-BE32-E72D297353CC}">
              <c16:uniqueId val="{00000023-64E0-4AA5-BC32-B93743A49BC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1.3939677031896448E-2"/>
          <c:y val="0.72936114944394836"/>
          <c:w val="0.97965360262170609"/>
          <c:h val="0.2500202938550207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Garamond" panose="02020404030301010803" pitchFamily="18" charset="0"/>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PAR!$AN$2</c:f>
              <c:strCache>
                <c:ptCount val="1"/>
                <c:pt idx="0">
                  <c:v>Bevétel</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5400000" spcFirstLastPara="1" vertOverflow="ellipsis" wrap="square" anchor="ctr" anchorCtr="1"/>
              <a:lstStyle/>
              <a:p>
                <a:pPr>
                  <a:defRPr sz="1400" b="1"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PAR!$AM$3:$AM$6</c:f>
              <c:numCache>
                <c:formatCode>General</c:formatCode>
                <c:ptCount val="4"/>
                <c:pt idx="0">
                  <c:v>2022</c:v>
                </c:pt>
                <c:pt idx="1">
                  <c:v>2023</c:v>
                </c:pt>
                <c:pt idx="2">
                  <c:v>2024</c:v>
                </c:pt>
                <c:pt idx="3">
                  <c:v>2025</c:v>
                </c:pt>
              </c:numCache>
            </c:numRef>
          </c:cat>
          <c:val>
            <c:numRef>
              <c:f>PAR!$AN$3:$AN$6</c:f>
              <c:numCache>
                <c:formatCode>#,##0</c:formatCode>
                <c:ptCount val="4"/>
                <c:pt idx="0">
                  <c:v>792076990</c:v>
                </c:pt>
                <c:pt idx="1">
                  <c:v>914121364</c:v>
                </c:pt>
                <c:pt idx="2">
                  <c:v>951977001</c:v>
                </c:pt>
                <c:pt idx="3">
                  <c:v>643617129</c:v>
                </c:pt>
              </c:numCache>
            </c:numRef>
          </c:val>
          <c:extLst>
            <c:ext xmlns:c16="http://schemas.microsoft.com/office/drawing/2014/chart" uri="{C3380CC4-5D6E-409C-BE32-E72D297353CC}">
              <c16:uniqueId val="{00000000-A554-459A-9F03-AE3DFB68D575}"/>
            </c:ext>
          </c:extLst>
        </c:ser>
        <c:ser>
          <c:idx val="1"/>
          <c:order val="1"/>
          <c:tx>
            <c:strRef>
              <c:f>PAR!$AO$2</c:f>
              <c:strCache>
                <c:ptCount val="1"/>
                <c:pt idx="0">
                  <c:v>Kiadás</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invertIfNegative val="0"/>
          <c:dLbls>
            <c:spPr>
              <a:noFill/>
              <a:ln>
                <a:noFill/>
              </a:ln>
              <a:effectLst/>
            </c:spPr>
            <c:txPr>
              <a:bodyPr rot="-5400000" spcFirstLastPara="1" vertOverflow="ellipsis" wrap="square" anchor="ctr" anchorCtr="1"/>
              <a:lstStyle/>
              <a:p>
                <a:pPr>
                  <a:defRPr sz="1400" b="1" i="0" u="none" strike="noStrike" kern="1200" baseline="0">
                    <a:solidFill>
                      <a:schemeClr val="tx1">
                        <a:lumMod val="75000"/>
                        <a:lumOff val="25000"/>
                      </a:schemeClr>
                    </a:solidFill>
                    <a:latin typeface="Garamond" panose="02020404030301010803" pitchFamily="18" charset="0"/>
                    <a:ea typeface="+mn-ea"/>
                    <a:cs typeface="+mn-cs"/>
                  </a:defRPr>
                </a:pPr>
                <a:endParaRPr lang="hu-H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PAR!$AM$3:$AM$6</c:f>
              <c:numCache>
                <c:formatCode>General</c:formatCode>
                <c:ptCount val="4"/>
                <c:pt idx="0">
                  <c:v>2022</c:v>
                </c:pt>
                <c:pt idx="1">
                  <c:v>2023</c:v>
                </c:pt>
                <c:pt idx="2">
                  <c:v>2024</c:v>
                </c:pt>
                <c:pt idx="3">
                  <c:v>2025</c:v>
                </c:pt>
              </c:numCache>
            </c:numRef>
          </c:cat>
          <c:val>
            <c:numRef>
              <c:f>PAR!$AO$3:$AO$6</c:f>
              <c:numCache>
                <c:formatCode>#,##0</c:formatCode>
                <c:ptCount val="4"/>
                <c:pt idx="0">
                  <c:v>306918495</c:v>
                </c:pt>
                <c:pt idx="1">
                  <c:v>595706075</c:v>
                </c:pt>
                <c:pt idx="2">
                  <c:v>918592977</c:v>
                </c:pt>
                <c:pt idx="3">
                  <c:v>643617129</c:v>
                </c:pt>
              </c:numCache>
            </c:numRef>
          </c:val>
          <c:extLst>
            <c:ext xmlns:c16="http://schemas.microsoft.com/office/drawing/2014/chart" uri="{C3380CC4-5D6E-409C-BE32-E72D297353CC}">
              <c16:uniqueId val="{00000001-A554-459A-9F03-AE3DFB68D575}"/>
            </c:ext>
          </c:extLst>
        </c:ser>
        <c:dLbls>
          <c:showLegendKey val="0"/>
          <c:showVal val="0"/>
          <c:showCatName val="0"/>
          <c:showSerName val="0"/>
          <c:showPercent val="0"/>
          <c:showBubbleSize val="0"/>
        </c:dLbls>
        <c:gapWidth val="100"/>
        <c:overlap val="-10"/>
        <c:axId val="502962184"/>
        <c:axId val="502959832"/>
      </c:barChart>
      <c:catAx>
        <c:axId val="50296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crossAx val="502959832"/>
        <c:crosses val="autoZero"/>
        <c:auto val="1"/>
        <c:lblAlgn val="ctr"/>
        <c:lblOffset val="100"/>
        <c:noMultiLvlLbl val="0"/>
      </c:catAx>
      <c:valAx>
        <c:axId val="50295983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crossAx val="502962184"/>
        <c:crosses val="autoZero"/>
        <c:crossBetween val="between"/>
        <c:dispUnits>
          <c:builtInUnit val="millions"/>
          <c:dispUnitsLbl>
            <c:tx>
              <c:rich>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Garamond" panose="02020404030301010803" pitchFamily="18" charset="0"/>
                      <a:ea typeface="+mn-ea"/>
                      <a:cs typeface="+mn-cs"/>
                    </a:defRPr>
                  </a:pPr>
                  <a:r>
                    <a:rPr lang="hu-HU"/>
                    <a:t>MILLIÓ Ft</a:t>
                  </a:r>
                </a:p>
              </c:rich>
            </c:tx>
            <c:spPr>
              <a:noFill/>
              <a:ln>
                <a:noFill/>
              </a:ln>
              <a:effectLst/>
            </c:spPr>
            <c:txPr>
              <a:bodyPr rot="-5400000" spcFirstLastPara="1" vertOverflow="ellipsis" vert="horz" wrap="square" anchor="ctr" anchorCtr="1"/>
              <a:lstStyle/>
              <a:p>
                <a:pPr>
                  <a:defRPr sz="1100" b="0" i="0" u="none" strike="noStrike" kern="1200" cap="all" baseline="0">
                    <a:solidFill>
                      <a:schemeClr val="tx1">
                        <a:lumMod val="65000"/>
                        <a:lumOff val="35000"/>
                      </a:schemeClr>
                    </a:solidFill>
                    <a:latin typeface="Garamond" panose="02020404030301010803" pitchFamily="18" charset="0"/>
                    <a:ea typeface="+mn-ea"/>
                    <a:cs typeface="+mn-cs"/>
                  </a:defRPr>
                </a:pPr>
                <a:endParaRPr lang="hu-HU"/>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aramond" panose="02020404030301010803" pitchFamily="18" charset="0"/>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Garamond" panose="02020404030301010803" pitchFamily="18" charset="0"/>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3957</Words>
  <Characters>27310</Characters>
  <Application>Microsoft Office Word</Application>
  <DocSecurity>0</DocSecurity>
  <Lines>227</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Norbert Schottner</cp:lastModifiedBy>
  <cp:revision>5</cp:revision>
  <dcterms:created xsi:type="dcterms:W3CDTF">2025-02-18T09:41:00Z</dcterms:created>
  <dcterms:modified xsi:type="dcterms:W3CDTF">2025-02-21T07:26:00Z</dcterms:modified>
</cp:coreProperties>
</file>